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3162300" cy="717550"/>
            <wp:effectExtent l="0" t="0" r="0" b="635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sdt>
      <w:sdtPr>
        <w:rPr>
          <w:b/>
          <w:sz w:val="64"/>
          <w:szCs w:val="64"/>
          <w:lang w:val="en-US"/>
        </w:rPr>
        <w:alias w:val="Document Title"/>
        <w:tag w:val="Cover_Document_Title"/>
        <w:id w:val="37766366"/>
        <w:lock w:val="sdtLocked"/>
      </w:sdtPr>
      <w:sdtEndPr>
        <w:rPr>
          <w:b/>
          <w:color w:val="0000FF"/>
          <w:sz w:val="56"/>
          <w:szCs w:val="56"/>
          <w:lang w:val="en-US"/>
        </w:rPr>
      </w:sdtEndPr>
      <w:sdtContent>
        <w:sdt>
          <w:sdtPr>
            <w:rPr>
              <w:rFonts w:hint="eastAsia"/>
              <w:b/>
              <w:sz w:val="64"/>
              <w:szCs w:val="64"/>
              <w:lang w:val="en-US"/>
            </w:rPr>
            <w:alias w:val="标题"/>
            <w:tag w:val="标题"/>
            <w:id w:val="3827719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 w:multiLine="1"/>
          </w:sdtPr>
          <w:sdtEndPr>
            <w:rPr>
              <w:rFonts w:hint="eastAsia"/>
              <w:b/>
              <w:color w:val="0000FF"/>
              <w:sz w:val="56"/>
              <w:szCs w:val="56"/>
              <w:lang w:val="en-US"/>
            </w:rPr>
          </w:sdtEndPr>
          <w:sdtContent>
            <w:p>
              <w:pPr>
                <w:rPr>
                  <w:b/>
                  <w:color w:val="0000FF"/>
                  <w:sz w:val="56"/>
                  <w:szCs w:val="56"/>
                  <w:lang w:val="en-US"/>
                </w:rPr>
              </w:pP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t>NX-3200-1数字对讲机</w:t>
              </w: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br w:type="textWrapping"/>
              </w: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t>产品规格书</w:t>
              </w:r>
            </w:p>
          </w:sdtContent>
        </w:sdt>
      </w:sdtContent>
    </w:sdt>
    <w:sdt>
      <w:sdtPr>
        <w:rPr>
          <w:rFonts w:hint="eastAsia"/>
          <w:b/>
          <w:sz w:val="40"/>
          <w:szCs w:val="40"/>
          <w:lang w:eastAsia="zh-CN"/>
        </w:rPr>
        <w:alias w:val="Project Name"/>
        <w:tag w:val="Cover_Project_Name"/>
        <w:id w:val="37766369"/>
        <w:lock w:val="sdtLocked"/>
      </w:sdtPr>
      <w:sdtEndPr>
        <w:rPr>
          <w:rFonts w:hint="eastAsia"/>
          <w:b/>
          <w:sz w:val="64"/>
          <w:szCs w:val="64"/>
          <w:lang w:eastAsia="zh-CN"/>
        </w:rPr>
      </w:sdtEndPr>
      <w:sdtContent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rPr>
              <w:rFonts w:hint="eastAsia"/>
              <w:b/>
              <w:sz w:val="64"/>
              <w:szCs w:val="64"/>
              <w:lang w:eastAsia="zh-CN"/>
            </w:rPr>
          </w:pPr>
          <w:r>
            <w:rPr>
              <w:rFonts w:hint="eastAsia"/>
              <w:b/>
              <w:sz w:val="40"/>
              <w:szCs w:val="40"/>
              <w:lang w:val="en-US" w:eastAsia="zh-CN"/>
            </w:rPr>
            <w:t>建伍</w:t>
          </w:r>
          <w:r>
            <w:rPr>
              <w:rFonts w:hint="eastAsia"/>
              <w:b/>
              <w:sz w:val="40"/>
              <w:szCs w:val="40"/>
              <w:lang w:eastAsia="zh-CN"/>
            </w:rPr>
            <w:t>终端产品线</w:t>
          </w:r>
        </w:p>
      </w:sdtContent>
    </w:sdt>
    <w:sdt>
      <w:sdtPr>
        <w:rPr>
          <w:b/>
          <w:sz w:val="40"/>
          <w:szCs w:val="40"/>
        </w:rPr>
        <w:alias w:val="标题"/>
        <w:id w:val="3827722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Fonts w:hint="eastAsia"/>
          <w:b/>
          <w:sz w:val="40"/>
          <w:szCs w:val="40"/>
        </w:rPr>
      </w:sdtEndPr>
      <w:sdtContent>
        <w:p>
          <w:pPr>
            <w:rPr>
              <w:rFonts w:hint="eastAsia"/>
              <w:b/>
              <w:sz w:val="40"/>
              <w:szCs w:val="40"/>
            </w:rPr>
          </w:pPr>
          <w:r>
            <w:rPr>
              <w:rFonts w:hint="eastAsia"/>
              <w:b/>
              <w:sz w:val="40"/>
              <w:szCs w:val="40"/>
              <w:lang w:eastAsia="zh-CN"/>
            </w:rPr>
            <w:t>NX-3200-1数字对讲机产品规格书</w:t>
          </w:r>
        </w:p>
      </w:sdtContent>
    </w:sdt>
    <w:p>
      <w:pPr>
        <w:rPr>
          <w:rFonts w:hint="eastAsia"/>
          <w:b/>
          <w:sz w:val="40"/>
          <w:szCs w:val="40"/>
          <w:lang w:val="en-US" w:eastAsia="zh-CN"/>
        </w:rPr>
      </w:pPr>
    </w:p>
    <w:tbl>
      <w:tblPr>
        <w:tblStyle w:val="8"/>
        <w:tblW w:w="917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1193"/>
        <w:gridCol w:w="1193"/>
        <w:gridCol w:w="1834"/>
        <w:gridCol w:w="3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版本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日期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作者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审核者</w:t>
            </w:r>
          </w:p>
        </w:tc>
        <w:tc>
          <w:tcPr>
            <w:tcW w:w="3865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V1.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2022.12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kenwus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865" w:type="dxa"/>
            <w:vAlign w:val="center"/>
          </w:tcPr>
          <w:p>
            <w:pPr>
              <w:widowControl/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基线文档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</w:tbl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rFonts w:hint="eastAsia" w:ascii="宋体" w:hAnsi="宋体" w:eastAsia="宋体" w:cs="宋体"/>
          <w:sz w:val="18"/>
          <w:szCs w:val="18"/>
        </w:rPr>
      </w:pP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版权所有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日本JVC建伍株式会社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保留所有权利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版权声明：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  <w:lang w:eastAsia="zh-CN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本文档著作权由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日本JVC建伍株式会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享有</w:t>
      </w:r>
      <w:r>
        <w:rPr>
          <w:rFonts w:hint="eastAsia" w:ascii="宋体" w:hAnsi="宋体" w:eastAsia="宋体" w:cs="宋体"/>
          <w:color w:val="FF0000"/>
          <w:sz w:val="18"/>
          <w:szCs w:val="18"/>
          <w:lang w:eastAsia="zh-CN"/>
        </w:rPr>
        <w:t>；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  <w:lang w:eastAsia="zh-CN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本文档中的信息随着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KENWOOD建伍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产品和技术的进步将不断更新</w:t>
      </w:r>
      <w:r>
        <w:rPr>
          <w:rFonts w:hint="eastAsia" w:ascii="宋体" w:hAnsi="宋体" w:eastAsia="宋体" w:cs="宋体"/>
          <w:color w:val="FF0000"/>
          <w:sz w:val="18"/>
          <w:szCs w:val="18"/>
          <w:lang w:eastAsia="zh-CN"/>
        </w:rPr>
        <w:t>；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由于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JVC KENWOOD集团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技术的不断发展，以上指标数据若有变更，以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KENWOOD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的新发布资料为准，恕不另行通知</w:t>
      </w:r>
      <w:r>
        <w:rPr>
          <w:rFonts w:hint="eastAsia" w:ascii="宋体" w:hAnsi="宋体" w:eastAsia="宋体" w:cs="宋体"/>
          <w:color w:val="FF0000"/>
          <w:sz w:val="18"/>
          <w:szCs w:val="18"/>
          <w:lang w:eastAsia="zh-CN"/>
        </w:rPr>
        <w:t>；</w:t>
      </w:r>
    </w:p>
    <w:p>
      <w:pPr>
        <w:rPr>
          <w:rFonts w:hint="eastAsia" w:ascii="宋体" w:hAnsi="宋体" w:eastAsia="宋体" w:cs="宋体"/>
          <w:sz w:val="18"/>
          <w:szCs w:val="18"/>
          <w:lang w:eastAsia="zh-CN"/>
        </w:rPr>
      </w:pPr>
      <w:r>
        <w:rPr>
          <w:rFonts w:hint="eastAsia" w:ascii="宋体" w:hAnsi="宋体" w:eastAsia="宋体" w:cs="宋体"/>
          <w:sz w:val="18"/>
          <w:szCs w:val="18"/>
        </w:rPr>
        <w:t>NXDN®是JVCKENWOOD公司和ICOM公司的注册商标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；</w:t>
      </w:r>
    </w:p>
    <w:p>
      <w:pPr>
        <w:rPr>
          <w:rFonts w:hint="eastAsia" w:ascii="宋体" w:hAnsi="宋体" w:eastAsia="宋体" w:cs="宋体"/>
          <w:sz w:val="18"/>
          <w:szCs w:val="18"/>
          <w:lang w:eastAsia="zh-CN"/>
        </w:rPr>
      </w:pPr>
      <w:r>
        <w:rPr>
          <w:rFonts w:hint="eastAsia" w:ascii="宋体" w:hAnsi="宋体" w:eastAsia="宋体" w:cs="宋体"/>
          <w:sz w:val="18"/>
          <w:szCs w:val="18"/>
        </w:rPr>
        <w:t>NEXEDGE®是JVCKENWOOD公司注册商标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；</w:t>
      </w:r>
    </w:p>
    <w:p>
      <w:pPr>
        <w:rPr>
          <w:rFonts w:hint="eastAsia" w:ascii="宋体" w:hAnsi="宋体" w:eastAsia="宋体" w:cs="宋体"/>
          <w:sz w:val="18"/>
          <w:szCs w:val="18"/>
          <w:lang w:eastAsia="zh-CN"/>
        </w:rPr>
      </w:pPr>
      <w:r>
        <w:rPr>
          <w:rFonts w:hint="eastAsia" w:ascii="宋体" w:hAnsi="宋体" w:eastAsia="宋体" w:cs="宋体"/>
          <w:sz w:val="18"/>
          <w:szCs w:val="18"/>
        </w:rPr>
        <w:t>FleetSync®是JVCKENWOOD公司的注册商标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；</w:t>
      </w:r>
    </w:p>
    <w:p>
      <w:pPr>
        <w:rPr>
          <w:rFonts w:hint="eastAsia" w:ascii="宋体" w:hAnsi="宋体" w:eastAsia="宋体" w:cs="宋体"/>
          <w:sz w:val="18"/>
          <w:szCs w:val="18"/>
          <w:lang w:eastAsia="zh-CN"/>
        </w:rPr>
      </w:pPr>
      <w:r>
        <w:rPr>
          <w:rFonts w:hint="eastAsia" w:ascii="宋体" w:hAnsi="宋体" w:eastAsia="宋体" w:cs="宋体"/>
          <w:sz w:val="18"/>
          <w:szCs w:val="18"/>
        </w:rPr>
        <w:t>AMBE+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2™</w:t>
      </w:r>
      <w:r>
        <w:rPr>
          <w:rFonts w:hint="eastAsia" w:ascii="宋体" w:hAnsi="宋体" w:eastAsia="宋体" w:cs="宋体"/>
          <w:sz w:val="18"/>
          <w:szCs w:val="18"/>
        </w:rPr>
        <w:t>是Digital Voice Systems Inc公司的注册商标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；</w:t>
      </w:r>
    </w:p>
    <w:p>
      <w:pPr>
        <w:rPr>
          <w:rFonts w:hint="eastAsia" w:ascii="宋体" w:hAnsi="宋体" w:eastAsia="宋体" w:cs="宋体"/>
          <w:sz w:val="18"/>
          <w:szCs w:val="18"/>
          <w:lang w:eastAsia="zh-CN"/>
        </w:rPr>
      </w:pPr>
      <w:r>
        <w:rPr>
          <w:rFonts w:hint="eastAsia" w:ascii="宋体" w:hAnsi="宋体" w:eastAsia="宋体" w:cs="宋体"/>
          <w:sz w:val="18"/>
          <w:szCs w:val="18"/>
        </w:rPr>
        <w:t>所有其他商标均为其各自持有人的财产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；</w:t>
      </w:r>
    </w:p>
    <w:sdt>
      <w:sdtPr>
        <w:rPr>
          <w:rFonts w:asciiTheme="minorHAnsi" w:hAnsiTheme="minorHAnsi" w:eastAsiaTheme="minorEastAsia" w:cstheme="minorBidi"/>
          <w:b w:val="0"/>
          <w:spacing w:val="0"/>
          <w:kern w:val="2"/>
          <w:sz w:val="21"/>
          <w:szCs w:val="22"/>
        </w:rPr>
        <w:id w:val="877760"/>
      </w:sdtPr>
      <w:sdtEndPr>
        <w:rPr>
          <w:rFonts w:ascii="Arial" w:hAnsi="Arial" w:eastAsia="宋体" w:cstheme="minorBidi"/>
          <w:b w:val="0"/>
          <w:spacing w:val="0"/>
          <w:kern w:val="0"/>
          <w:sz w:val="21"/>
          <w:szCs w:val="22"/>
        </w:rPr>
      </w:sdtEndPr>
      <w:sdtContent>
        <w:p>
          <w:pPr>
            <w:pStyle w:val="12"/>
            <w:outlineLvl w:val="9"/>
          </w:pPr>
          <w:r>
            <w:t>目录</w:t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rPr>
              <w:b w:val="0"/>
            </w:rPr>
            <w:fldChar w:fldCharType="begin"/>
          </w:r>
          <w:r>
            <w:rPr>
              <w:b w:val="0"/>
            </w:rPr>
            <w:instrText xml:space="preserve"> TOC \o "1-3" \h \z \u </w:instrText>
          </w:r>
          <w:r>
            <w:rPr>
              <w:b w:val="0"/>
            </w:rPr>
            <w:fldChar w:fldCharType="separate"/>
          </w:r>
          <w:r>
            <w:fldChar w:fldCharType="begin"/>
          </w:r>
          <w:r>
            <w:instrText xml:space="preserve"> HYPERLINK \l _Toc26484 </w:instrText>
          </w:r>
          <w:r>
            <w:fldChar w:fldCharType="separate"/>
          </w:r>
          <w:r>
            <w:t xml:space="preserve">1 </w:t>
          </w:r>
          <w:r>
            <w:rPr>
              <w:rFonts w:hint="eastAsia"/>
              <w:lang w:eastAsia="zh-CN"/>
            </w:rPr>
            <w:t>产品外观</w:t>
          </w:r>
          <w:r>
            <w:tab/>
          </w:r>
          <w:r>
            <w:fldChar w:fldCharType="begin"/>
          </w:r>
          <w:r>
            <w:instrText xml:space="preserve"> PAGEREF _Toc26484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fldChar w:fldCharType="begin"/>
          </w:r>
          <w:r>
            <w:instrText xml:space="preserve"> HYPERLINK \l _Toc14348 </w:instrText>
          </w:r>
          <w:r>
            <w:fldChar w:fldCharType="separate"/>
          </w:r>
          <w:r>
            <w:rPr>
              <w:rFonts w:hint="eastAsia"/>
              <w:lang w:eastAsia="zh-CN"/>
            </w:rPr>
            <w:t>2 产品特点</w:t>
          </w:r>
          <w:r>
            <w:tab/>
          </w:r>
          <w:r>
            <w:fldChar w:fldCharType="begin"/>
          </w:r>
          <w:r>
            <w:instrText xml:space="preserve"> PAGEREF _Toc14348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fldChar w:fldCharType="begin"/>
          </w:r>
          <w:r>
            <w:instrText xml:space="preserve"> HYPERLINK \l _Toc9930 </w:instrText>
          </w:r>
          <w:r>
            <w:fldChar w:fldCharType="separate"/>
          </w:r>
          <w:r>
            <w:rPr>
              <w:rFonts w:hint="eastAsia"/>
              <w:lang w:eastAsia="zh-CN"/>
            </w:rPr>
            <w:t>3 产品规格</w:t>
          </w:r>
          <w:r>
            <w:tab/>
          </w:r>
          <w:r>
            <w:rPr>
              <w:rFonts w:hint="eastAsia"/>
              <w:lang w:val="en-US" w:eastAsia="zh-CN"/>
            </w:rPr>
            <w:t>7</w:t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  <w:rPr>
              <w:rFonts w:hint="eastAsia" w:eastAsiaTheme="minorEastAsia"/>
              <w:lang w:val="en-US" w:eastAsia="zh-CN"/>
            </w:rPr>
          </w:pPr>
          <w:r>
            <w:fldChar w:fldCharType="begin"/>
          </w:r>
          <w:r>
            <w:instrText xml:space="preserve"> HYPERLINK \l _Toc14004 </w:instrText>
          </w:r>
          <w:r>
            <w:fldChar w:fldCharType="separate"/>
          </w:r>
          <w:r>
            <w:rPr>
              <w:rFonts w:hint="eastAsia"/>
              <w:lang w:eastAsia="zh-CN"/>
            </w:rPr>
            <w:t>4 标配附件</w:t>
          </w:r>
          <w:r>
            <w:tab/>
          </w:r>
          <w:r>
            <w:fldChar w:fldCharType="end"/>
          </w:r>
          <w:r>
            <w:rPr>
              <w:rFonts w:hint="eastAsia"/>
              <w:lang w:val="en-US" w:eastAsia="zh-CN"/>
            </w:rPr>
            <w:t>9</w:t>
          </w:r>
        </w:p>
        <w:p>
          <w:pPr>
            <w:rPr>
              <w:rFonts w:ascii="Arial" w:hAnsi="Arial" w:eastAsia="宋体" w:cstheme="minorBidi"/>
              <w:b w:val="0"/>
              <w:spacing w:val="0"/>
              <w:kern w:val="0"/>
              <w:sz w:val="21"/>
              <w:szCs w:val="22"/>
            </w:rPr>
          </w:pPr>
          <w:r>
            <w:fldChar w:fldCharType="end"/>
          </w:r>
        </w:p>
      </w:sdtContent>
    </w:sdt>
    <w:p>
      <w:pPr>
        <w:rPr>
          <w:rFonts w:ascii="Arial" w:hAnsi="Arial" w:eastAsia="宋体" w:cstheme="minorBidi"/>
          <w:b w:val="0"/>
          <w:spacing w:val="0"/>
          <w:kern w:val="0"/>
          <w:sz w:val="21"/>
          <w:szCs w:val="22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pStyle w:val="2"/>
        <w:bidi w:val="0"/>
        <w:ind w:left="0" w:leftChars="0" w:firstLine="0" w:firstLineChars="0"/>
        <w:rPr>
          <w:rFonts w:hint="eastAsia"/>
          <w:lang w:eastAsia="zh-CN"/>
        </w:rPr>
      </w:pPr>
      <w:bookmarkStart w:id="0" w:name="_Toc26484"/>
      <w:r>
        <w:rPr>
          <w:rFonts w:hint="eastAsia"/>
          <w:lang w:eastAsia="zh-CN"/>
        </w:rPr>
        <w:t>产品外观</w:t>
      </w:r>
      <w:bookmarkEnd w:id="0"/>
    </w:p>
    <w:p/>
    <w:p>
      <w:r>
        <w:rPr>
          <w:rFonts w:hint="eastAsia"/>
          <w:lang w:val="en-US" w:eastAsia="zh-CN"/>
        </w:rPr>
        <w:t xml:space="preserve">                         </w:t>
      </w:r>
      <w:r>
        <w:drawing>
          <wp:inline distT="0" distB="0" distL="114300" distR="114300">
            <wp:extent cx="2021205" cy="6476365"/>
            <wp:effectExtent l="0" t="0" r="10795" b="635"/>
            <wp:docPr id="5" name="图片 5" descr="NX-3000_HT_Univ_FKY_FT_KRA26_57L_GR_LH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NX-3000_HT_Univ_FKY_FT_KRA26_57L_GR_LH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21205" cy="647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7"/>
        <w:gridCol w:w="3036"/>
        <w:gridCol w:w="26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651000" cy="1297305"/>
                  <wp:effectExtent l="0" t="0" r="0" b="10795"/>
                  <wp:docPr id="11" name="图片 11" descr="NX-3000_HT_2P_FKY_LightBar_MG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NX-3000_HT_2P_FKY_LightBar_MGT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0" cy="1297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789430" cy="1376680"/>
                  <wp:effectExtent l="0" t="0" r="1270" b="7620"/>
                  <wp:docPr id="8" name="图片 8" descr="NX-3000_HT_2P_FKY_BT_57L_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NX-3000_HT_2P_FKY_BT_57L_GR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9430" cy="1376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767080" cy="1370965"/>
                  <wp:effectExtent l="0" t="0" r="7620" b="635"/>
                  <wp:docPr id="6" name="图片 6" descr="NX-3000_HT_Univ_FKY_CONN_KRA22_55L_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NX-3000_HT_Univ_FKY_CONN_KRA22_55L_GR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080" cy="1370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2"/>
        <w:bidi w:val="0"/>
        <w:ind w:left="0" w:leftChars="0" w:firstLine="0" w:firstLineChars="0"/>
        <w:rPr>
          <w:rFonts w:hint="eastAsia"/>
          <w:lang w:eastAsia="zh-CN"/>
        </w:rPr>
      </w:pPr>
      <w:bookmarkStart w:id="1" w:name="_Toc14348"/>
      <w:r>
        <w:rPr>
          <w:rFonts w:hint="eastAsia"/>
          <w:lang w:eastAsia="zh-CN"/>
        </w:rPr>
        <w:t>产品特点</w:t>
      </w:r>
      <w:bookmarkEnd w:id="1"/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通用特征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内置GPS接收机芯片，可实现GPS定位功能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内置蓝牙组件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支持蓝牙耳机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蓝牙串行数据传输(选件)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4行全点阵显示屏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可显示中文</w:t>
      </w:r>
      <w:r>
        <w:rPr>
          <w:rFonts w:hint="eastAsia" w:ascii="Arial" w:hAnsi="Arial" w:eastAsia="宋体"/>
          <w:szCs w:val="22"/>
          <w:lang w:eastAsia="zh-CN"/>
        </w:rPr>
        <w:t>、</w:t>
      </w:r>
      <w:r>
        <w:rPr>
          <w:rFonts w:hint="eastAsia" w:ascii="Arial" w:hAnsi="Arial" w:eastAsia="宋体"/>
          <w:szCs w:val="22"/>
        </w:rPr>
        <w:t>英文、数字、图标等信息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7色LED指示灯提示不同的工作状态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7个可编程键+4方向键+12键制键盘，使用灵活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内置AMBE+2声码器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内置紧急报警功能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包括</w:t>
      </w:r>
      <w:r>
        <w:rPr>
          <w:rFonts w:hint="eastAsia" w:ascii="Arial" w:hAnsi="Arial" w:eastAsia="宋体"/>
          <w:szCs w:val="22"/>
          <w:lang w:eastAsia="zh-CN"/>
        </w:rPr>
        <w:t>：</w:t>
      </w:r>
      <w:r>
        <w:rPr>
          <w:rFonts w:hint="eastAsia" w:ascii="Arial" w:hAnsi="Arial" w:eastAsia="宋体"/>
          <w:szCs w:val="22"/>
        </w:rPr>
        <w:t>手动触发报警、倒地报警、剧烈晃动报警、超时静止报警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内置单兵作业安全提示功能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color w:val="FF0000"/>
          <w:szCs w:val="22"/>
        </w:rPr>
      </w:pPr>
      <w:r>
        <w:rPr>
          <w:rFonts w:hint="eastAsia" w:ascii="Arial" w:hAnsi="Arial" w:eastAsia="宋体"/>
          <w:color w:val="FF0000"/>
          <w:szCs w:val="22"/>
        </w:rPr>
        <w:t>具有语音提示功能</w:t>
      </w:r>
      <w:r>
        <w:rPr>
          <w:rFonts w:hint="eastAsia" w:ascii="Arial" w:hAnsi="Arial" w:eastAsia="宋体"/>
          <w:color w:val="FF0000"/>
          <w:szCs w:val="22"/>
          <w:lang w:eastAsia="zh-CN"/>
        </w:rPr>
        <w:t>，</w:t>
      </w:r>
      <w:r>
        <w:rPr>
          <w:rFonts w:hint="eastAsia" w:ascii="Arial" w:hAnsi="Arial" w:eastAsia="宋体"/>
          <w:color w:val="FF0000"/>
          <w:szCs w:val="22"/>
        </w:rPr>
        <w:t>并且可编辑语音输入</w:t>
      </w:r>
      <w:r>
        <w:rPr>
          <w:rFonts w:hint="eastAsia" w:ascii="Arial" w:hAnsi="Arial" w:eastAsia="宋体"/>
          <w:color w:val="FF0000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color w:val="FF0000"/>
          <w:szCs w:val="22"/>
        </w:rPr>
      </w:pPr>
      <w:r>
        <w:rPr>
          <w:rFonts w:hint="eastAsia" w:ascii="Arial" w:hAnsi="Arial" w:eastAsia="宋体"/>
          <w:color w:val="FF0000"/>
          <w:szCs w:val="22"/>
        </w:rPr>
        <w:t>录音/回放功能</w:t>
      </w:r>
      <w:r>
        <w:rPr>
          <w:rFonts w:hint="eastAsia" w:ascii="Arial" w:hAnsi="Arial" w:eastAsia="宋体"/>
          <w:color w:val="FF0000"/>
          <w:szCs w:val="22"/>
          <w:lang w:eastAsia="zh-CN"/>
        </w:rPr>
        <w:t>：</w:t>
      </w:r>
      <w:r>
        <w:rPr>
          <w:rFonts w:hint="eastAsia" w:ascii="Arial" w:hAnsi="Arial" w:eastAsia="宋体"/>
          <w:color w:val="FF0000"/>
          <w:szCs w:val="22"/>
        </w:rPr>
        <w:t>分段录音，总长600秒</w:t>
      </w:r>
      <w:r>
        <w:rPr>
          <w:rFonts w:hint="eastAsia" w:ascii="Arial" w:hAnsi="Arial" w:eastAsia="宋体"/>
          <w:color w:val="FF0000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空中写频功能(选件)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采用14针多功能插座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支持扩展应用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采用主动消噪技术(ANR)，保证优异的语音质量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坚固耐用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符合美国军用标准MIL-STD810 C/D/E/F/G 1</w:t>
      </w:r>
      <w:r>
        <w:rPr>
          <w:rFonts w:hint="eastAsia" w:ascii="Arial" w:hAnsi="Arial" w:eastAsia="宋体"/>
          <w:szCs w:val="22"/>
          <w:lang w:val="en-US" w:eastAsia="zh-CN"/>
        </w:rPr>
        <w:t>2</w:t>
      </w:r>
      <w:r>
        <w:rPr>
          <w:rFonts w:hint="eastAsia" w:ascii="Arial" w:hAnsi="Arial" w:eastAsia="宋体"/>
          <w:szCs w:val="22"/>
        </w:rPr>
        <w:t>项环境试验标准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0"/>
          <w:numId w:val="0"/>
        </w:numPr>
        <w:ind w:left="840" w:leftChars="0" w:firstLine="420" w:firstLineChars="200"/>
        <w:jc w:val="both"/>
        <w:rPr>
          <w:rFonts w:hint="eastAsia" w:ascii="Arial" w:hAnsi="Arial" w:eastAsia="宋体"/>
          <w:szCs w:val="22"/>
          <w:lang w:eastAsia="zh-CN"/>
        </w:rPr>
      </w:pPr>
      <w:r>
        <w:rPr>
          <w:rFonts w:hint="eastAsia" w:ascii="Arial" w:hAnsi="Arial" w:eastAsia="宋体"/>
          <w:szCs w:val="22"/>
        </w:rPr>
        <w:t>防尘和防水通过国际标准IP67的测试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color w:val="FF0000"/>
          <w:szCs w:val="22"/>
        </w:rPr>
      </w:pPr>
      <w:r>
        <w:rPr>
          <w:rFonts w:hint="eastAsia" w:ascii="Arial" w:hAnsi="Arial" w:eastAsia="宋体"/>
          <w:color w:val="FF0000"/>
          <w:szCs w:val="22"/>
          <w:lang w:val="en-US" w:eastAsia="zh-CN"/>
        </w:rPr>
        <w:t>场强测试功能，</w:t>
      </w:r>
      <w:r>
        <w:rPr>
          <w:rFonts w:hint="eastAsia" w:ascii="Arial" w:hAnsi="Arial" w:eastAsia="宋体"/>
          <w:color w:val="FF0000"/>
          <w:szCs w:val="22"/>
        </w:rPr>
        <w:t>能够检测</w:t>
      </w:r>
      <w:r>
        <w:rPr>
          <w:rFonts w:hint="eastAsia" w:ascii="Arial" w:hAnsi="Arial" w:eastAsia="宋体"/>
          <w:color w:val="FF0000"/>
          <w:szCs w:val="22"/>
          <w:lang w:val="en-US" w:eastAsia="zh-CN"/>
        </w:rPr>
        <w:t>来自基站当前频道的场强</w:t>
      </w:r>
      <w:r>
        <w:rPr>
          <w:rFonts w:hint="eastAsia" w:ascii="Arial" w:hAnsi="Arial" w:eastAsia="宋体"/>
          <w:color w:val="FF0000"/>
          <w:szCs w:val="22"/>
        </w:rPr>
        <w:t>信号，</w:t>
      </w:r>
      <w:r>
        <w:rPr>
          <w:rFonts w:hint="eastAsia" w:ascii="Arial" w:hAnsi="Arial" w:eastAsia="宋体"/>
          <w:color w:val="FF0000"/>
          <w:szCs w:val="22"/>
          <w:lang w:val="en-US" w:eastAsia="zh-CN"/>
        </w:rPr>
        <w:t>为场所信号覆盖提供直观数据参考，进而改善网络覆盖质量；</w:t>
      </w: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</w:rPr>
      </w:pP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数字-DMR模式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符合ETSI DMR Tier</w:t>
      </w:r>
      <w:r>
        <w:rPr>
          <w:rFonts w:hint="eastAsia" w:ascii="Arial" w:hAnsi="Arial" w:eastAsia="宋体"/>
          <w:szCs w:val="22"/>
          <w:lang w:val="en-US" w:eastAsia="zh-CN"/>
        </w:rPr>
        <w:t xml:space="preserve"> </w:t>
      </w:r>
      <w:r>
        <w:rPr>
          <w:rFonts w:hint="eastAsia" w:ascii="Arial" w:hAnsi="Arial" w:eastAsia="宋体"/>
          <w:szCs w:val="22"/>
        </w:rPr>
        <w:t xml:space="preserve">II </w:t>
      </w:r>
      <w:r>
        <w:rPr>
          <w:rFonts w:hint="eastAsia" w:ascii="Arial" w:hAnsi="Arial" w:eastAsia="宋体"/>
          <w:szCs w:val="22"/>
          <w:lang w:val="en-US" w:eastAsia="zh-CN"/>
        </w:rPr>
        <w:t>/</w:t>
      </w:r>
      <w:r>
        <w:rPr>
          <w:rFonts w:hint="eastAsia" w:ascii="Arial" w:hAnsi="Arial" w:eastAsia="宋体"/>
          <w:szCs w:val="22"/>
        </w:rPr>
        <w:t>Tier</w:t>
      </w:r>
      <w:r>
        <w:rPr>
          <w:rFonts w:hint="eastAsia" w:ascii="Arial" w:hAnsi="Arial" w:eastAsia="宋体"/>
          <w:szCs w:val="22"/>
          <w:lang w:val="en-US" w:eastAsia="zh-CN"/>
        </w:rPr>
        <w:t xml:space="preserve"> </w:t>
      </w:r>
      <w:r>
        <w:rPr>
          <w:rFonts w:hint="eastAsia" w:ascii="Arial" w:hAnsi="Arial" w:eastAsia="宋体"/>
          <w:szCs w:val="22"/>
        </w:rPr>
        <w:t>III标准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color w:val="FF0000"/>
          <w:szCs w:val="22"/>
          <w:lang w:val="en-US" w:eastAsia="zh-CN"/>
        </w:rPr>
        <w:t>支持接入</w:t>
      </w:r>
      <w:r>
        <w:rPr>
          <w:rFonts w:hint="eastAsia" w:ascii="Arial" w:hAnsi="Arial" w:eastAsia="宋体"/>
          <w:color w:val="FF0000"/>
          <w:szCs w:val="22"/>
        </w:rPr>
        <w:t>Tier</w:t>
      </w:r>
      <w:r>
        <w:rPr>
          <w:rFonts w:hint="eastAsia" w:ascii="Arial" w:hAnsi="Arial" w:eastAsia="宋体"/>
          <w:color w:val="FF0000"/>
          <w:szCs w:val="22"/>
          <w:lang w:val="en-US" w:eastAsia="zh-CN"/>
        </w:rPr>
        <w:t xml:space="preserve"> </w:t>
      </w:r>
      <w:r>
        <w:rPr>
          <w:rFonts w:hint="eastAsia" w:ascii="Arial" w:hAnsi="Arial" w:eastAsia="宋体"/>
          <w:color w:val="FF0000"/>
          <w:szCs w:val="22"/>
        </w:rPr>
        <w:t>III</w:t>
      </w:r>
      <w:r>
        <w:rPr>
          <w:rFonts w:hint="eastAsia" w:ascii="Arial" w:hAnsi="Arial" w:eastAsia="宋体"/>
          <w:color w:val="FF0000"/>
          <w:szCs w:val="22"/>
          <w:lang w:val="en-US" w:eastAsia="zh-CN"/>
        </w:rPr>
        <w:t>专业集群系统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12.5kHz载频2时隙TDMA方式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支持语音业务</w:t>
      </w:r>
      <w:r>
        <w:rPr>
          <w:rFonts w:hint="eastAsia" w:ascii="Arial" w:hAnsi="Arial" w:eastAsia="宋体"/>
          <w:szCs w:val="22"/>
          <w:lang w:eastAsia="zh-CN"/>
        </w:rPr>
        <w:t>：</w:t>
      </w:r>
      <w:r>
        <w:rPr>
          <w:rFonts w:hint="eastAsia" w:ascii="Arial" w:hAnsi="Arial" w:eastAsia="宋体"/>
          <w:szCs w:val="22"/>
        </w:rPr>
        <w:t>个别呼叫，组呼，全呼，广播呼叫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支持数据业务</w:t>
      </w:r>
      <w:r>
        <w:rPr>
          <w:rFonts w:hint="eastAsia" w:ascii="Arial" w:hAnsi="Arial" w:eastAsia="宋体"/>
          <w:szCs w:val="22"/>
          <w:lang w:eastAsia="zh-CN"/>
        </w:rPr>
        <w:t>：</w:t>
      </w:r>
      <w:r>
        <w:rPr>
          <w:rFonts w:hint="eastAsia" w:ascii="Arial" w:hAnsi="Arial" w:eastAsia="宋体"/>
          <w:szCs w:val="22"/>
        </w:rPr>
        <w:t>状态信息，文本信息，GPS数据</w:t>
      </w:r>
      <w:r>
        <w:rPr>
          <w:rFonts w:hint="eastAsia" w:ascii="Arial" w:hAnsi="Arial" w:eastAsia="宋体"/>
          <w:szCs w:val="22"/>
          <w:lang w:eastAsia="zh-CN"/>
        </w:rPr>
        <w:t>、</w:t>
      </w:r>
      <w:r>
        <w:rPr>
          <w:rFonts w:hint="eastAsia" w:ascii="Arial" w:hAnsi="Arial" w:eastAsia="宋体"/>
          <w:szCs w:val="22"/>
          <w:lang w:val="en-US" w:eastAsia="zh-CN"/>
        </w:rPr>
        <w:t>蓝牙数据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具有呼叫强拆功能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直通模式下双时隙通信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在多中转台IP联网下能够自动判选和切换到</w:t>
      </w:r>
      <w:r>
        <w:rPr>
          <w:rFonts w:hint="eastAsia" w:ascii="Arial" w:hAnsi="Arial" w:eastAsia="宋体"/>
          <w:szCs w:val="22"/>
          <w:lang w:val="en-US" w:eastAsia="zh-CN"/>
        </w:rPr>
        <w:t>更</w:t>
      </w:r>
      <w:r>
        <w:rPr>
          <w:rFonts w:hint="eastAsia" w:ascii="Arial" w:hAnsi="Arial" w:eastAsia="宋体"/>
          <w:szCs w:val="22"/>
        </w:rPr>
        <w:t>佳信号的中转台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漫游通信无需手动切换信道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遥毙/复活/远程监听/远程检测(按需配置)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内置15bit数字加密和DMR标准的ARC4 40bit加密功能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</w:rPr>
      </w:pP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数字-NXDN模式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超窄带FDMA方式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6.25kHz信道间隔和12.5kHz信道间隔可编程选择设置</w:t>
      </w:r>
      <w:r>
        <w:rPr>
          <w:rFonts w:hint="eastAsia" w:ascii="Arial" w:hAnsi="Arial" w:eastAsia="宋体"/>
          <w:szCs w:val="22"/>
          <w:lang w:eastAsia="zh-CN"/>
        </w:rPr>
        <w:t>；</w:t>
      </w:r>
      <w:r>
        <w:rPr>
          <w:rFonts w:hint="eastAsia" w:ascii="Arial" w:hAnsi="Arial" w:eastAsia="宋体"/>
          <w:szCs w:val="22"/>
        </w:rPr>
        <w:t>使用灵活,频谱利用率高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支持语音业务</w:t>
      </w:r>
      <w:r>
        <w:rPr>
          <w:rFonts w:hint="eastAsia" w:ascii="Arial" w:hAnsi="Arial" w:eastAsia="宋体"/>
          <w:szCs w:val="22"/>
          <w:lang w:eastAsia="zh-CN"/>
        </w:rPr>
        <w:t>：</w:t>
      </w:r>
      <w:r>
        <w:rPr>
          <w:rFonts w:hint="eastAsia" w:ascii="Arial" w:hAnsi="Arial" w:eastAsia="宋体"/>
          <w:szCs w:val="22"/>
        </w:rPr>
        <w:t>个别选呼，组呼，全呼，广播呼叫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支持数据业务</w:t>
      </w:r>
      <w:r>
        <w:rPr>
          <w:rFonts w:hint="eastAsia" w:ascii="Arial" w:hAnsi="Arial" w:eastAsia="宋体"/>
          <w:szCs w:val="22"/>
          <w:lang w:eastAsia="zh-CN"/>
        </w:rPr>
        <w:t>：</w:t>
      </w:r>
      <w:r>
        <w:rPr>
          <w:rFonts w:hint="eastAsia" w:ascii="Arial" w:hAnsi="Arial" w:eastAsia="宋体"/>
          <w:szCs w:val="22"/>
        </w:rPr>
        <w:t>状态信息，文本信息 (短数据，长数据)，数据透明传输</w:t>
      </w:r>
      <w:r>
        <w:rPr>
          <w:rFonts w:hint="eastAsia" w:ascii="Arial" w:hAnsi="Arial" w:eastAsia="宋体"/>
          <w:szCs w:val="22"/>
          <w:lang w:eastAsia="zh-CN"/>
        </w:rPr>
        <w:t>、</w:t>
      </w:r>
      <w:r>
        <w:rPr>
          <w:rFonts w:hint="eastAsia" w:ascii="Arial" w:hAnsi="Arial" w:eastAsia="宋体"/>
          <w:szCs w:val="22"/>
        </w:rPr>
        <w:t>GPS数据</w:t>
      </w:r>
      <w:r>
        <w:rPr>
          <w:rFonts w:hint="eastAsia" w:ascii="Arial" w:hAnsi="Arial" w:eastAsia="宋体"/>
          <w:szCs w:val="22"/>
          <w:lang w:eastAsia="zh-CN"/>
        </w:rPr>
        <w:t>、</w:t>
      </w:r>
      <w:r>
        <w:rPr>
          <w:rFonts w:hint="eastAsia" w:ascii="Arial" w:hAnsi="Arial" w:eastAsia="宋体"/>
          <w:szCs w:val="22"/>
          <w:lang w:val="en-US" w:eastAsia="zh-CN"/>
        </w:rPr>
        <w:t>蓝牙数据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具有15bit的语音加密功能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空中别名功能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呼叫方将自己的别名或ID发送到接收方显示出来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遥毙/复活/远程监听/远程检测(按需配置)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数字常规模式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</w:rPr>
        <w:t>在多中转台IP联网下能够自动判选和切换到</w:t>
      </w:r>
      <w:r>
        <w:rPr>
          <w:rFonts w:hint="eastAsia" w:ascii="Arial" w:hAnsi="Arial" w:eastAsia="宋体"/>
          <w:szCs w:val="22"/>
          <w:lang w:val="en-US" w:eastAsia="zh-CN"/>
        </w:rPr>
        <w:t>更</w:t>
      </w:r>
      <w:r>
        <w:rPr>
          <w:rFonts w:hint="eastAsia" w:ascii="Arial" w:hAnsi="Arial" w:eastAsia="宋体"/>
          <w:szCs w:val="22"/>
        </w:rPr>
        <w:t>佳信号的中转台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漫游通信无需手动切换信道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数字/模拟混合工作模式，双模双待，自适应响应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63个RAN码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NEXEDGE C型数字集群和Gen2数字集群(</w:t>
      </w:r>
      <w:r>
        <w:rPr>
          <w:rFonts w:hint="eastAsia" w:ascii="Arial" w:hAnsi="Arial" w:eastAsia="宋体"/>
          <w:szCs w:val="22"/>
          <w:lang w:val="en-US" w:eastAsia="zh-CN"/>
        </w:rPr>
        <w:t>选件</w:t>
      </w:r>
      <w:r>
        <w:rPr>
          <w:rFonts w:hint="eastAsia" w:ascii="Arial" w:hAnsi="Arial" w:eastAsia="宋体"/>
          <w:szCs w:val="22"/>
        </w:rPr>
        <w:t>)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优先呼叫(可分8个级别)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延迟加入</w:t>
      </w:r>
      <w:r>
        <w:rPr>
          <w:rFonts w:hint="eastAsia" w:ascii="Arial" w:hAnsi="Arial" w:eastAsia="宋体"/>
          <w:szCs w:val="22"/>
          <w:lang w:eastAsia="zh-CN"/>
        </w:rPr>
        <w:t>；</w:t>
      </w:r>
      <w:bookmarkStart w:id="6" w:name="_GoBack"/>
      <w:bookmarkEnd w:id="6"/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遇忙排队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4个优先接收ID实现强插通信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动态重组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ESN验证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自动登记，漫游通信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numPr>
          <w:ilvl w:val="0"/>
          <w:numId w:val="0"/>
        </w:numPr>
        <w:ind w:left="1470" w:leftChars="0"/>
        <w:jc w:val="left"/>
        <w:rPr>
          <w:rFonts w:hint="eastAsia" w:ascii="Arial" w:hAnsi="Arial" w:eastAsia="宋体"/>
          <w:szCs w:val="22"/>
        </w:rPr>
      </w:pP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模拟模式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支持模拟常规模式和LTR集群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PTT-ID/ANI/呼叫方ID显示功能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内置多种信令</w:t>
      </w:r>
      <w:r>
        <w:rPr>
          <w:rFonts w:hint="eastAsia" w:ascii="Arial" w:hAnsi="Arial" w:eastAsia="宋体"/>
          <w:szCs w:val="22"/>
          <w:lang w:eastAsia="zh-CN"/>
        </w:rPr>
        <w:t>：</w:t>
      </w:r>
      <w:r>
        <w:rPr>
          <w:rFonts w:hint="eastAsia" w:ascii="Arial" w:hAnsi="Arial" w:eastAsia="宋体"/>
          <w:szCs w:val="22"/>
        </w:rPr>
        <w:t>QT/DQT编码和解码，DTMF编码/解码，FleetSync/ FleetSync</w:t>
      </w:r>
      <w:r>
        <w:rPr>
          <w:rFonts w:hint="eastAsia" w:ascii="Arial" w:hAnsi="Arial" w:eastAsia="宋体"/>
          <w:szCs w:val="22"/>
          <w:lang w:val="en-US" w:eastAsia="zh-CN"/>
        </w:rPr>
        <w:t xml:space="preserve"> </w:t>
      </w:r>
      <w:r>
        <w:rPr>
          <w:rFonts w:hint="eastAsia" w:ascii="Arial" w:hAnsi="Arial" w:eastAsia="宋体"/>
          <w:szCs w:val="22"/>
        </w:rPr>
        <w:t>ll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MDC1200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numPr>
          <w:ilvl w:val="0"/>
          <w:numId w:val="0"/>
        </w:numPr>
        <w:ind w:left="840" w:leftChars="0"/>
        <w:jc w:val="left"/>
        <w:rPr>
          <w:rFonts w:hint="eastAsia" w:ascii="Arial" w:hAnsi="Arial" w:eastAsia="宋体"/>
          <w:szCs w:val="22"/>
          <w:lang w:val="en-US" w:eastAsia="zh-CN"/>
        </w:rPr>
      </w:pP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pStyle w:val="2"/>
        <w:rPr>
          <w:rFonts w:hint="eastAsia"/>
          <w:lang w:eastAsia="zh-CN"/>
        </w:rPr>
      </w:pPr>
      <w:bookmarkStart w:id="2" w:name="_Toc9930"/>
      <w:r>
        <w:rPr>
          <w:rFonts w:hint="eastAsia"/>
          <w:lang w:val="en-US" w:eastAsia="zh-CN"/>
        </w:rPr>
        <w:t>标准技术</w:t>
      </w:r>
      <w:r>
        <w:rPr>
          <w:rFonts w:hint="eastAsia"/>
          <w:lang w:eastAsia="zh-CN"/>
        </w:rPr>
        <w:t>规格</w:t>
      </w:r>
      <w:bookmarkEnd w:id="2"/>
    </w:p>
    <w:tbl>
      <w:tblPr>
        <w:tblStyle w:val="8"/>
        <w:tblW w:w="863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3"/>
        <w:gridCol w:w="2225"/>
        <w:gridCol w:w="504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6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通用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频率范围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136-174MHz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信道数量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512，1000（选配）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区域数量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信道间隔 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12.5kHz/25kHz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6.25kHz/12.5kHz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工作电源电压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7.5VDC±20%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电池使用时间（FDMA/TDMA)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5-5-90工作循环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约11小时（KNB-57L电池）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主机工作温度范围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- 30～+60℃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天线阻抗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尺寸（宽x高x厚）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本机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56x119.6x36.4mm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配KNB-57L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56x119.6x39mm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重量 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本机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配KNB-57L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支持标准 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ETSI(EMC)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 301 489-3，EN 301 489-5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 301 489-17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ETSI(频谱)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 300 086，EN 300 113，EN 300 219,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 300 328，EN 300 440，EN 300 166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ETSI(安全)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 60065，EN 60215，EN 60950-1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6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灵敏度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NXDN 3%误码率（6.25kHz/12.5kHz）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0.20μV/0.25μV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1100" w:hanging="1100" w:hangingChars="5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NXDN 1%识码率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（6.25kHz/12.5kHz）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0.32μV/0.45μV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DMR 5%识码率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0.30μV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DMR 1%识码率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0.45μV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 EIA 12dB SINAD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(12.5kHz/25kHz)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0.25μV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 EIA 20dB SINAD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(12.5kHz/25kHz)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0.45μV/0.35μV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选择性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模拟12.5/25kHz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68dB/76dB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互调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杂波辐射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音频失真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音频输出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3%失真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500mW/8Ω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内置扬声器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5%失真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1000mW/8Ω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6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发射功率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高5W/中4W/低1W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杂散辐射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-36dBm≤1GHz，-30dBm&gt;1GHcz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剩余调频(模拟)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12.5kHz/25kHz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40dB/45dB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调制失真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数字协议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NXDN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NXDN TS 1-A，NXDN TS 1-B，NXDN TS 1-C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NXDN TS 1-D，NXDN TS 1-E，NXDN TS 1-F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DMR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ETSITS102 361-1，-2，-3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调制类型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16KOF3E，8K5F3E，8K30F1E，8K30F1D8K30F7W，7K50F2D，7K60FXE，7K60FXD4K00F1E，4K00F1D，4K00F7W，4K00F2D</w:t>
            </w:r>
          </w:p>
        </w:tc>
      </w:tr>
    </w:tbl>
    <w:p/>
    <w:p>
      <w:pPr>
        <w:rPr>
          <w:rFonts w:hint="eastAsia"/>
        </w:rPr>
      </w:pPr>
      <w:r>
        <w:rPr>
          <w:rFonts w:hint="eastAsia"/>
        </w:rPr>
        <w:t>*根据实际测量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上述数据是典型值</w:t>
      </w:r>
      <w:r>
        <w:rPr>
          <w:rFonts w:hint="eastAsia"/>
          <w:lang w:eastAsia="zh-CN"/>
        </w:rPr>
        <w:t>；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固件和软件的升级细节和时间是不固定的，恕不预先通知</w:t>
      </w:r>
      <w:r>
        <w:rPr>
          <w:rFonts w:hint="eastAsia"/>
          <w:lang w:eastAsia="zh-CN"/>
        </w:rPr>
        <w:t>；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由于技术不断地发展，以上数据有可能变更，恕不预先通知</w:t>
      </w:r>
      <w:r>
        <w:rPr>
          <w:rFonts w:hint="eastAsia"/>
          <w:lang w:eastAsia="zh-CN"/>
        </w:rPr>
        <w:t>；</w:t>
      </w:r>
    </w:p>
    <w:p/>
    <w:p/>
    <w:p/>
    <w:p/>
    <w:p/>
    <w:p/>
    <w:p/>
    <w:p/>
    <w:p/>
    <w:p/>
    <w:p>
      <w:pPr>
        <w:pStyle w:val="2"/>
        <w:rPr>
          <w:rFonts w:hint="eastAsia"/>
          <w:lang w:eastAsia="zh-CN"/>
        </w:rPr>
      </w:pPr>
      <w:bookmarkStart w:id="3" w:name="_Toc30620"/>
      <w:bookmarkStart w:id="4" w:name="_Toc5208"/>
      <w:bookmarkStart w:id="5" w:name="_Toc14004"/>
      <w:r>
        <w:rPr>
          <w:rFonts w:hint="eastAsia"/>
          <w:lang w:eastAsia="zh-CN"/>
        </w:rPr>
        <w:t>标配附件</w:t>
      </w:r>
      <w:bookmarkEnd w:id="3"/>
      <w:bookmarkEnd w:id="4"/>
      <w:bookmarkEnd w:id="5"/>
    </w:p>
    <w:tbl>
      <w:tblPr>
        <w:tblStyle w:val="9"/>
        <w:tblpPr w:leftFromText="180" w:rightFromText="180" w:vertAnchor="text" w:horzAnchor="page" w:tblpX="2052" w:tblpY="347"/>
        <w:tblOverlap w:val="never"/>
        <w:tblW w:w="87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5"/>
        <w:gridCol w:w="2520"/>
        <w:gridCol w:w="1335"/>
        <w:gridCol w:w="2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4" w:hRule="atLeast"/>
        </w:trPr>
        <w:tc>
          <w:tcPr>
            <w:tcW w:w="207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背 夹</w:t>
            </w:r>
          </w:p>
          <w:p>
            <w:pPr>
              <w:jc w:val="center"/>
              <w:rPr>
                <w:rFonts w:hint="default" w:eastAsiaTheme="minor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(KBH-11)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eastAsiaTheme="minorEastAsia"/>
                <w:lang w:eastAsia="zh-CN"/>
              </w:rPr>
              <w:drawing>
                <wp:inline distT="0" distB="0" distL="114300" distR="114300">
                  <wp:extent cx="1457325" cy="1943100"/>
                  <wp:effectExtent l="0" t="0" r="3175" b="0"/>
                  <wp:docPr id="7" name="图片 7" descr="IMG_84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IMG_848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194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天 线</w:t>
            </w:r>
          </w:p>
          <w:p>
            <w:pPr>
              <w:jc w:val="center"/>
              <w:rPr>
                <w:rFonts w:hint="default" w:eastAsiaTheme="minor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(KRA-26)</w:t>
            </w:r>
          </w:p>
        </w:tc>
        <w:tc>
          <w:tcPr>
            <w:tcW w:w="2820" w:type="dxa"/>
            <w:vAlign w:val="center"/>
          </w:tcPr>
          <w:p>
            <w:pPr>
              <w:jc w:val="center"/>
            </w:pPr>
            <w:r>
              <w:drawing>
                <wp:inline distT="0" distB="0" distL="114300" distR="114300">
                  <wp:extent cx="660400" cy="2444750"/>
                  <wp:effectExtent l="0" t="0" r="0" b="6350"/>
                  <wp:docPr id="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400" cy="244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锂离子</w:t>
            </w: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电池</w:t>
            </w: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(KNB-57L)</w:t>
            </w:r>
          </w:p>
          <w:p>
            <w:pPr>
              <w:jc w:val="center"/>
              <w:rPr>
                <w:rFonts w:hint="default" w:ascii="Arial" w:hAnsi="Arial" w:eastAsiaTheme="minorEastAsia" w:cstheme="minorBidi"/>
                <w:b/>
                <w:color w:val="000000" w:themeColor="text1"/>
                <w:kern w:val="2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(1900mAh)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ascii="Arial" w:hAnsi="Arial" w:eastAsia="宋体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Arial" w:hAnsi="Arial" w:eastAsia="宋体" w:cstheme="minorBidi"/>
                <w:kern w:val="2"/>
                <w:sz w:val="21"/>
                <w:szCs w:val="22"/>
                <w:lang w:val="en-US" w:eastAsia="zh-CN" w:bidi="ar-SA"/>
              </w:rPr>
              <w:drawing>
                <wp:inline distT="0" distB="0" distL="114300" distR="114300">
                  <wp:extent cx="1457325" cy="1943100"/>
                  <wp:effectExtent l="0" t="0" r="3175" b="0"/>
                  <wp:docPr id="9" name="图片 9" descr="IMG_8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IMG_847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194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5" w:type="dxa"/>
            <w:vAlign w:val="center"/>
          </w:tcPr>
          <w:p>
            <w:pPr>
              <w:jc w:val="both"/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2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6" w:hRule="atLeast"/>
        </w:trPr>
        <w:tc>
          <w:tcPr>
            <w:tcW w:w="207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快速</w:t>
            </w: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充电器</w:t>
            </w:r>
          </w:p>
          <w:p>
            <w:pPr>
              <w:jc w:val="center"/>
              <w:rPr>
                <w:rFonts w:hint="default" w:eastAsiaTheme="minor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(KSC-25LS)</w:t>
            </w:r>
          </w:p>
        </w:tc>
        <w:tc>
          <w:tcPr>
            <w:tcW w:w="6675" w:type="dxa"/>
            <w:gridSpan w:val="3"/>
            <w:vAlign w:val="center"/>
          </w:tcPr>
          <w:p>
            <w:pPr>
              <w:jc w:val="center"/>
            </w:pPr>
            <w:r>
              <w:drawing>
                <wp:inline distT="0" distB="0" distL="114300" distR="114300">
                  <wp:extent cx="3581400" cy="2139950"/>
                  <wp:effectExtent l="0" t="0" r="0" b="6350"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1400" cy="213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>
      <w:pPr>
        <w:rPr>
          <w:rFonts w:hint="eastAsia"/>
          <w:b/>
          <w:sz w:val="40"/>
          <w:szCs w:val="40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tabs>
        <w:tab w:val="right" w:pos="8280"/>
      </w:tabs>
      <w:spacing w:line="180" w:lineRule="exact"/>
      <w:ind w:right="360"/>
      <w:rPr>
        <w:rFonts w:hint="eastAsia" w:ascii="楷体_GB2312" w:eastAsia="楷体_GB2312"/>
      </w:rPr>
    </w:pPr>
    <w:r>
      <w:rPr>
        <w:rStyle w:val="11"/>
        <w:rFonts w:hint="eastAsia" w:ascii="楷体_GB2312" w:eastAsia="楷体_GB2312"/>
      </w:rPr>
      <w:t>版权所有</w:t>
    </w:r>
    <w:r>
      <w:rPr>
        <w:rStyle w:val="11"/>
        <w:rFonts w:hint="eastAsia" w:eastAsia="楷体_GB2312"/>
      </w:rPr>
      <w:t>©</w:t>
    </w:r>
    <w:r>
      <w:rPr>
        <w:rStyle w:val="11"/>
        <w:rFonts w:hint="eastAsia" w:ascii="楷体_GB2312" w:eastAsia="楷体_GB2312"/>
      </w:rPr>
      <w:t xml:space="preserve"> </w:t>
    </w:r>
    <w:r>
      <w:rPr>
        <w:rFonts w:hint="eastAsia" w:ascii="楷体_GB2312" w:eastAsia="楷体_GB2312"/>
      </w:rPr>
      <w:fldChar w:fldCharType="begin"/>
    </w:r>
    <w:r>
      <w:rPr>
        <w:rStyle w:val="11"/>
        <w:rFonts w:hint="eastAsia" w:ascii="楷体_GB2312" w:eastAsia="楷体_GB2312"/>
      </w:rPr>
      <w:instrText xml:space="preserve"> DATE \@ "yyyy" </w:instrText>
    </w:r>
    <w:r>
      <w:rPr>
        <w:rFonts w:hint="eastAsia" w:ascii="楷体_GB2312" w:eastAsia="楷体_GB2312"/>
      </w:rPr>
      <w:fldChar w:fldCharType="separate"/>
    </w:r>
    <w:r>
      <w:rPr>
        <w:rStyle w:val="11"/>
        <w:rFonts w:hint="eastAsia" w:ascii="楷体_GB2312" w:eastAsia="楷体_GB2312"/>
      </w:rPr>
      <w:t>2023</w:t>
    </w:r>
    <w:r>
      <w:rPr>
        <w:rFonts w:hint="eastAsia" w:ascii="楷体_GB2312" w:eastAsia="楷体_GB2312"/>
      </w:rPr>
      <w:fldChar w:fldCharType="end"/>
    </w:r>
    <w:r>
      <w:rPr>
        <w:rStyle w:val="11"/>
        <w:rFonts w:hint="eastAsia" w:ascii="楷体_GB2312" w:eastAsia="楷体_GB2312"/>
      </w:rPr>
      <w:t xml:space="preserve"> www.kenwood.com</w:t>
    </w:r>
    <w:r>
      <w:rPr>
        <w:rFonts w:hint="eastAsia" w:ascii="楷体_GB2312" w:eastAsia="楷体_GB2312"/>
      </w:rPr>
      <w:t xml:space="preserve">                                                                             </w:t>
    </w:r>
  </w:p>
  <w:p>
    <w:pPr>
      <w:pStyle w:val="6"/>
      <w:spacing w:line="180" w:lineRule="exact"/>
      <w:rPr>
        <w:rFonts w:hint="eastAsia" w:eastAsiaTheme="minorEastAsia"/>
        <w:lang w:eastAsia="zh-CN"/>
      </w:rPr>
    </w:pPr>
    <w:r>
      <w:rPr>
        <w:rStyle w:val="11"/>
        <w:rFonts w:hint="eastAsia" w:ascii="楷体_GB2312" w:eastAsia="楷体_GB2312"/>
      </w:rPr>
      <w:t>内部保密</w:t>
    </w:r>
    <w:r>
      <w:rPr>
        <w:rFonts w:hint="eastAsia"/>
        <w:lang w:eastAsia="zh-CN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single" w:color="auto" w:sz="4" w:space="1"/>
      </w:pBdr>
      <w:jc w:val="right"/>
    </w:pPr>
    <w:r>
      <w:rPr>
        <w:u w:val="none"/>
      </w:rPr>
      <w:drawing>
        <wp:inline distT="0" distB="0" distL="114300" distR="114300">
          <wp:extent cx="1390015" cy="315595"/>
          <wp:effectExtent l="0" t="0" r="6985" b="1905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0015" cy="315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3446E6"/>
    <w:multiLevelType w:val="multilevel"/>
    <w:tmpl w:val="283446E6"/>
    <w:lvl w:ilvl="0" w:tentative="0">
      <w:start w:val="1"/>
      <w:numFmt w:val="bullet"/>
      <w:lvlText w:val="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168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89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252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94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336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378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420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4620" w:leftChars="0" w:hanging="420" w:firstLineChars="0"/>
      </w:pPr>
      <w:rPr>
        <w:rFonts w:hint="default" w:ascii="Wingdings" w:hAnsi="Wingdings"/>
      </w:rPr>
    </w:lvl>
  </w:abstractNum>
  <w:abstractNum w:abstractNumId="1">
    <w:nsid w:val="3CC37D45"/>
    <w:multiLevelType w:val="multilevel"/>
    <w:tmpl w:val="3CC37D45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64421996"/>
    <w:multiLevelType w:val="multilevel"/>
    <w:tmpl w:val="64421996"/>
    <w:lvl w:ilvl="0" w:tentative="0">
      <w:start w:val="1"/>
      <w:numFmt w:val="decimal"/>
      <w:pStyle w:val="2"/>
      <w:lvlText w:val="%1"/>
      <w:lvlJc w:val="left"/>
    </w:lvl>
    <w:lvl w:ilvl="1" w:tentative="0">
      <w:start w:val="1"/>
      <w:numFmt w:val="decimal"/>
      <w:lvlText w:val="%1.%2"/>
      <w:lvlJc w:val="left"/>
    </w:lvl>
    <w:lvl w:ilvl="2" w:tentative="0">
      <w:start w:val="1"/>
      <w:numFmt w:val="decimal"/>
      <w:lvlText w:val="%1.%2.%3"/>
      <w:lvlJc w:val="left"/>
      <w:rPr>
        <w:rFonts w:hint="default" w:ascii="Arial" w:hAnsi="Arial" w:cs="Arial"/>
      </w:rPr>
    </w:lvl>
    <w:lvl w:ilvl="3" w:tentative="0">
      <w:start w:val="1"/>
      <w:numFmt w:val="decimal"/>
      <w:lvlText w:val="%1.%2.%3.%4"/>
      <w:lvlJc w:val="left"/>
    </w:lvl>
    <w:lvl w:ilvl="4" w:tentative="0">
      <w:start w:val="1"/>
      <w:numFmt w:val="decimal"/>
      <w:lvlText w:val="%1.%2.%3.%4.%5"/>
      <w:lvlJc w:val="left"/>
    </w:lvl>
    <w:lvl w:ilvl="5" w:tentative="0">
      <w:start w:val="1"/>
      <w:numFmt w:val="decimal"/>
      <w:lvlText w:val="%1.%2.%3.%4.%5.%6"/>
      <w:lvlJc w:val="left"/>
    </w:lvl>
    <w:lvl w:ilvl="6" w:tentative="0">
      <w:start w:val="1"/>
      <w:numFmt w:val="decimal"/>
      <w:lvlText w:val="%1.%2.%3.%4.%5.%6.%7"/>
      <w:lvlJc w:val="left"/>
    </w:lvl>
    <w:lvl w:ilvl="7" w:tentative="0">
      <w:start w:val="1"/>
      <w:numFmt w:val="decimal"/>
      <w:lvlText w:val="%1.%2.%3.%4.%5.%6.%7.%8"/>
      <w:lvlJc w:val="left"/>
    </w:lvl>
    <w:lvl w:ilvl="8" w:tentative="0">
      <w:start w:val="1"/>
      <w:numFmt w:val="decimal"/>
      <w:lvlText w:val="%1.%2.%3.%4.%5.%6.%7.%8.%9"/>
      <w:lvlJc w:val="left"/>
    </w:lvl>
  </w:abstractNum>
  <w:abstractNum w:abstractNumId="3">
    <w:nsid w:val="7580A2F1"/>
    <w:multiLevelType w:val="multilevel"/>
    <w:tmpl w:val="7580A2F1"/>
    <w:lvl w:ilvl="0" w:tentative="0">
      <w:start w:val="1"/>
      <w:numFmt w:val="bullet"/>
      <w:lvlText w:val="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168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210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252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94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336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378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420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4620" w:leftChars="0" w:hanging="420" w:firstLineChars="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jNTJiZmZlN2QxMTJmYTM2ZTkwMWU2NTFiOTUzY2YifQ=="/>
  </w:docVars>
  <w:rsids>
    <w:rsidRoot w:val="00000000"/>
    <w:rsid w:val="00DE2DDD"/>
    <w:rsid w:val="017512B4"/>
    <w:rsid w:val="05243941"/>
    <w:rsid w:val="05D15E73"/>
    <w:rsid w:val="05FE23E4"/>
    <w:rsid w:val="07C75183"/>
    <w:rsid w:val="08F71A98"/>
    <w:rsid w:val="0A48364A"/>
    <w:rsid w:val="0E99714E"/>
    <w:rsid w:val="0F8910A9"/>
    <w:rsid w:val="111425F0"/>
    <w:rsid w:val="116A4DD1"/>
    <w:rsid w:val="13792554"/>
    <w:rsid w:val="145D3689"/>
    <w:rsid w:val="155C2C83"/>
    <w:rsid w:val="163C6D3C"/>
    <w:rsid w:val="16823430"/>
    <w:rsid w:val="16B32D77"/>
    <w:rsid w:val="16E11692"/>
    <w:rsid w:val="16E66D61"/>
    <w:rsid w:val="17817D86"/>
    <w:rsid w:val="1A6A376D"/>
    <w:rsid w:val="1A7B3BAB"/>
    <w:rsid w:val="1C36219D"/>
    <w:rsid w:val="1DD2442A"/>
    <w:rsid w:val="1E94348E"/>
    <w:rsid w:val="1FA932E3"/>
    <w:rsid w:val="209459C7"/>
    <w:rsid w:val="21294361"/>
    <w:rsid w:val="21AD6D40"/>
    <w:rsid w:val="21CE6CB6"/>
    <w:rsid w:val="22BD7457"/>
    <w:rsid w:val="23AC53CD"/>
    <w:rsid w:val="243E6375"/>
    <w:rsid w:val="25900E53"/>
    <w:rsid w:val="272555CB"/>
    <w:rsid w:val="275B0FEC"/>
    <w:rsid w:val="27CC3C98"/>
    <w:rsid w:val="29C10D80"/>
    <w:rsid w:val="2AF73935"/>
    <w:rsid w:val="2B9E594C"/>
    <w:rsid w:val="2C574478"/>
    <w:rsid w:val="2E0A551A"/>
    <w:rsid w:val="311A5FF2"/>
    <w:rsid w:val="31777D04"/>
    <w:rsid w:val="320F6A40"/>
    <w:rsid w:val="33313908"/>
    <w:rsid w:val="336D632F"/>
    <w:rsid w:val="34080E52"/>
    <w:rsid w:val="37385DE2"/>
    <w:rsid w:val="377F2724"/>
    <w:rsid w:val="3831701C"/>
    <w:rsid w:val="383C7CBE"/>
    <w:rsid w:val="3C522566"/>
    <w:rsid w:val="3D601A89"/>
    <w:rsid w:val="3E2B30F6"/>
    <w:rsid w:val="3EB412B6"/>
    <w:rsid w:val="3F010273"/>
    <w:rsid w:val="3F514D57"/>
    <w:rsid w:val="44E977E0"/>
    <w:rsid w:val="460656CD"/>
    <w:rsid w:val="48022966"/>
    <w:rsid w:val="488717E9"/>
    <w:rsid w:val="48C52312"/>
    <w:rsid w:val="4A2D63C1"/>
    <w:rsid w:val="4A4756D4"/>
    <w:rsid w:val="4A53205B"/>
    <w:rsid w:val="4B180E1F"/>
    <w:rsid w:val="4C082C41"/>
    <w:rsid w:val="4D74462E"/>
    <w:rsid w:val="4E8D61CF"/>
    <w:rsid w:val="4EAF439C"/>
    <w:rsid w:val="4F075432"/>
    <w:rsid w:val="4FDE7063"/>
    <w:rsid w:val="4FED4628"/>
    <w:rsid w:val="50267B3A"/>
    <w:rsid w:val="506A1680"/>
    <w:rsid w:val="50AD6BE4"/>
    <w:rsid w:val="51D830B6"/>
    <w:rsid w:val="51F45E2E"/>
    <w:rsid w:val="521A3B68"/>
    <w:rsid w:val="53051C89"/>
    <w:rsid w:val="531445C2"/>
    <w:rsid w:val="55D01046"/>
    <w:rsid w:val="56876E58"/>
    <w:rsid w:val="56D66003"/>
    <w:rsid w:val="587632DC"/>
    <w:rsid w:val="58885441"/>
    <w:rsid w:val="589A10C5"/>
    <w:rsid w:val="58E40592"/>
    <w:rsid w:val="596A4F3B"/>
    <w:rsid w:val="5B0D4D70"/>
    <w:rsid w:val="5B7756EE"/>
    <w:rsid w:val="5D9933F8"/>
    <w:rsid w:val="5E624433"/>
    <w:rsid w:val="603F4D07"/>
    <w:rsid w:val="61AD3208"/>
    <w:rsid w:val="621C0D9D"/>
    <w:rsid w:val="627B5AC3"/>
    <w:rsid w:val="63612F0B"/>
    <w:rsid w:val="65226971"/>
    <w:rsid w:val="65B5753E"/>
    <w:rsid w:val="65E322FD"/>
    <w:rsid w:val="69DA174D"/>
    <w:rsid w:val="69E71C90"/>
    <w:rsid w:val="69E91EAC"/>
    <w:rsid w:val="6ADD44FB"/>
    <w:rsid w:val="6B480E55"/>
    <w:rsid w:val="6D102A05"/>
    <w:rsid w:val="6D260D22"/>
    <w:rsid w:val="6DFE57FA"/>
    <w:rsid w:val="6EC72405"/>
    <w:rsid w:val="6F9208F0"/>
    <w:rsid w:val="70217FA0"/>
    <w:rsid w:val="712D50B1"/>
    <w:rsid w:val="726B39D4"/>
    <w:rsid w:val="72A526E9"/>
    <w:rsid w:val="752A2293"/>
    <w:rsid w:val="7723469A"/>
    <w:rsid w:val="77277E53"/>
    <w:rsid w:val="779A6594"/>
    <w:rsid w:val="77D777E8"/>
    <w:rsid w:val="79224A93"/>
    <w:rsid w:val="79A03FCF"/>
    <w:rsid w:val="7C41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numPr>
        <w:ilvl w:val="0"/>
        <w:numId w:val="1"/>
      </w:numPr>
      <w:spacing w:before="480" w:line="288" w:lineRule="auto"/>
      <w:ind w:left="1247" w:hanging="1247"/>
      <w:jc w:val="both"/>
      <w:outlineLvl w:val="0"/>
    </w:pPr>
    <w:rPr>
      <w:rFonts w:ascii="Arial" w:hAnsi="Arial" w:eastAsia="宋体" w:cstheme="minorBidi"/>
      <w:b/>
      <w:bCs/>
      <w:kern w:val="44"/>
      <w:sz w:val="36"/>
      <w:szCs w:val="4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4"/>
    <w:next w:val="1"/>
    <w:unhideWhenUsed/>
    <w:qFormat/>
    <w:uiPriority w:val="39"/>
    <w:pPr>
      <w:tabs>
        <w:tab w:val="left" w:pos="420"/>
        <w:tab w:val="left" w:pos="567"/>
        <w:tab w:val="left" w:pos="1134"/>
        <w:tab w:val="left" w:pos="1777"/>
        <w:tab w:val="right" w:leader="dot" w:pos="8789"/>
        <w:tab w:val="right" w:leader="dot" w:pos="9062"/>
      </w:tabs>
      <w:ind w:left="1701" w:right="34" w:hanging="567"/>
    </w:pPr>
  </w:style>
  <w:style w:type="paragraph" w:styleId="4">
    <w:name w:val="toc 2"/>
    <w:basedOn w:val="5"/>
    <w:next w:val="1"/>
    <w:unhideWhenUsed/>
    <w:qFormat/>
    <w:uiPriority w:val="39"/>
    <w:pPr>
      <w:tabs>
        <w:tab w:val="left" w:pos="420"/>
        <w:tab w:val="left" w:pos="567"/>
        <w:tab w:val="left" w:pos="1134"/>
        <w:tab w:val="right" w:leader="dot" w:pos="8789"/>
        <w:tab w:val="right" w:leader="dot" w:pos="9062"/>
      </w:tabs>
      <w:spacing w:before="120"/>
      <w:ind w:left="1276" w:right="907" w:hanging="709"/>
    </w:pPr>
    <w:rPr>
      <w:b w:val="0"/>
    </w:rPr>
  </w:style>
  <w:style w:type="paragraph" w:styleId="5">
    <w:name w:val="toc 1"/>
    <w:basedOn w:val="1"/>
    <w:next w:val="4"/>
    <w:unhideWhenUsed/>
    <w:qFormat/>
    <w:uiPriority w:val="39"/>
    <w:pPr>
      <w:keepNext/>
      <w:widowControl/>
      <w:tabs>
        <w:tab w:val="left" w:pos="420"/>
        <w:tab w:val="left" w:pos="567"/>
        <w:tab w:val="right" w:leader="dot" w:pos="8789"/>
        <w:tab w:val="right" w:leader="dot" w:pos="9062"/>
      </w:tabs>
      <w:spacing w:before="360"/>
      <w:ind w:left="567" w:right="34" w:hanging="425"/>
      <w:jc w:val="left"/>
    </w:pPr>
    <w:rPr>
      <w:b/>
      <w:kern w:val="0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0"/>
  </w:style>
  <w:style w:type="paragraph" w:customStyle="1" w:styleId="12">
    <w:name w:val="TOC Heading"/>
    <w:basedOn w:val="1"/>
    <w:unhideWhenUsed/>
    <w:qFormat/>
    <w:uiPriority w:val="39"/>
    <w:pPr>
      <w:keepNext/>
      <w:widowControl/>
      <w:spacing w:before="840" w:after="240"/>
      <w:jc w:val="left"/>
    </w:pPr>
    <w:rPr>
      <w:rFonts w:cstheme="majorBidi"/>
      <w:b/>
      <w:spacing w:val="10"/>
      <w:kern w:val="20"/>
      <w:sz w:val="40"/>
      <w:szCs w:val="28"/>
    </w:rPr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9.png"/><Relationship Id="rId13" Type="http://schemas.openxmlformats.org/officeDocument/2006/relationships/image" Target="media/image8.jpeg"/><Relationship Id="rId12" Type="http://schemas.openxmlformats.org/officeDocument/2006/relationships/image" Target="media/image7.pn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1537</Words>
  <Characters>2433</Characters>
  <Lines>0</Lines>
  <Paragraphs>0</Paragraphs>
  <TotalTime>1</TotalTime>
  <ScaleCrop>false</ScaleCrop>
  <LinksUpToDate>false</LinksUpToDate>
  <CharactersWithSpaces>2552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2022-12-09T08:53:00Z</dcterms:created>
  <dc:creator>上海汉界通信工程有限公司</dc:creator>
  <cp:lastModifiedBy>无线对讲系统-徐工13918677771</cp:lastModifiedBy>
  <dcterms:modified xsi:type="dcterms:W3CDTF">2023-04-26T03:33:45Z</dcterms:modified>
  <dc:title>NX-3200-1数字对讲机
产品规格书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A173627EB58C4F35ABE33FBE9DB0A2D3</vt:lpwstr>
  </property>
</Properties>
</file>