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NX-3320-C1数字对讲机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NX-3320-C1数字对讲机产品规格书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2022.12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享有。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产品和技术的进步将不断更新。由于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NXDN®是JVCKENWOOD公司和ICOM公司的注册商标。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NEXEDGE®是JVCKENWOOD公司注册商标。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FleetSync®是JVCKENWOOD公司的注册商标。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AMBE+</w:t>
      </w:r>
      <w:r>
        <w:rPr>
          <w:rFonts w:hint="eastAsia" w:ascii="宋体" w:hAnsi="宋体" w:eastAsia="宋体" w:cs="宋体"/>
          <w:sz w:val="18"/>
          <w:szCs w:val="18"/>
          <w:lang w:val="en-US" w:eastAsia="zh-CN"/>
        </w:rPr>
        <w:t>2™</w:t>
      </w:r>
      <w:r>
        <w:rPr>
          <w:rFonts w:hint="eastAsia" w:ascii="宋体" w:hAnsi="宋体" w:eastAsia="宋体" w:cs="宋体"/>
          <w:sz w:val="18"/>
          <w:szCs w:val="18"/>
        </w:rPr>
        <w:t>是Digital Voice Systems Inc公司的注册商标。</w:t>
      </w:r>
    </w:p>
    <w:p>
      <w:pPr>
        <w:rPr>
          <w:rFonts w:hint="eastAsia" w:ascii="宋体" w:hAnsi="宋体" w:eastAsia="宋体" w:cs="宋体"/>
          <w:sz w:val="18"/>
          <w:szCs w:val="18"/>
        </w:rPr>
      </w:pPr>
      <w:r>
        <w:rPr>
          <w:rFonts w:hint="eastAsia" w:ascii="宋体" w:hAnsi="宋体" w:eastAsia="宋体" w:cs="宋体"/>
          <w:sz w:val="18"/>
          <w:szCs w:val="18"/>
        </w:rPr>
        <w:t>所有其他商标均为其各自持有人的财产。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产品规格</w:t>
          </w:r>
          <w:r>
            <w:tab/>
          </w:r>
          <w:r>
            <w:rPr>
              <w:rFonts w:hint="eastAsia"/>
              <w:lang w:val="en-US" w:eastAsia="zh-CN"/>
            </w:rPr>
            <w:t>7</w:t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_Toc14004 </w:instrText>
          </w:r>
          <w:r>
            <w:fldChar w:fldCharType="separate"/>
          </w:r>
          <w:r>
            <w:rPr>
              <w:rFonts w:hint="eastAsia"/>
              <w:lang w:eastAsia="zh-CN"/>
            </w:rPr>
            <w:t>4 标配附件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9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r>
        <w:rPr>
          <w:rFonts w:hint="eastAsia"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2009140" cy="6436995"/>
            <wp:effectExtent l="0" t="0" r="10160" b="1905"/>
            <wp:docPr id="5" name="图片 5" descr="NX-3000_HT_2P_FKY_FT_KRA27_57L_GR_LH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NX-3000_HT_2P_FKY_FT_KRA27_57L_GR_LH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140" cy="643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3036"/>
        <w:gridCol w:w="26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651000" cy="1297305"/>
                  <wp:effectExtent l="0" t="0" r="0" b="10795"/>
                  <wp:docPr id="11" name="图片 11" descr="NX-3000_HT_2P_FKY_LightBar_MG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NX-3000_HT_2P_FKY_LightBar_MGT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297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1789430" cy="1376680"/>
                  <wp:effectExtent l="0" t="0" r="1270" b="7620"/>
                  <wp:docPr id="8" name="图片 8" descr="NX-3000_HT_2P_FKY_BT_57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NX-3000_HT_2P_FKY_BT_57L_GR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430" cy="137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1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eastAsiaTheme="minorEastAsia"/>
                <w:vertAlign w:val="baseline"/>
                <w:lang w:eastAsia="zh-CN"/>
              </w:rPr>
              <w:drawing>
                <wp:inline distT="0" distB="0" distL="114300" distR="114300">
                  <wp:extent cx="820420" cy="1365250"/>
                  <wp:effectExtent l="0" t="0" r="5080" b="6350"/>
                  <wp:docPr id="9" name="图片 9" descr="NX-3000_HT_2Pin_FKY_CONN_KRA22_55L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NX-3000_HT_2Pin_FKY_CONN_KRA22_55L_GR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36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  <w:lang w:val="en-US" w:eastAsia="zh-CN"/>
        </w:rPr>
        <w:t>工作</w:t>
      </w:r>
      <w:r>
        <w:rPr>
          <w:rFonts w:hint="eastAsia" w:ascii="Arial" w:hAnsi="Arial" w:eastAsia="宋体"/>
          <w:szCs w:val="22"/>
        </w:rPr>
        <w:t>频率范围宽达120MHz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4行全点阵显示屏可显示中文</w:t>
      </w:r>
      <w:r>
        <w:rPr>
          <w:rFonts w:hint="eastAsia" w:ascii="Arial" w:hAnsi="Arial" w:eastAsia="宋体"/>
          <w:szCs w:val="22"/>
          <w:lang w:eastAsia="zh-CN"/>
        </w:rPr>
        <w:t>、</w:t>
      </w:r>
      <w:r>
        <w:rPr>
          <w:rFonts w:hint="eastAsia" w:ascii="Arial" w:hAnsi="Arial" w:eastAsia="宋体"/>
          <w:szCs w:val="22"/>
        </w:rPr>
        <w:t>英文、数字、图标等信息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7色LED指示灯提示不同的工作状态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7个可编程键+4方向键+12键制键盘，使用灵活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内置AMBE+2声码器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内置紧急报警功能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包括:手动触发报警、倒地报警、剧烈晃动报警、超时静止报警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内置单兵作业安全提示功能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</w:rPr>
        <w:t>具有语音提示功能</w:t>
      </w:r>
      <w:r>
        <w:rPr>
          <w:rFonts w:hint="eastAsia" w:ascii="Arial" w:hAnsi="Arial" w:eastAsia="宋体"/>
          <w:color w:val="FF0000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</w:rPr>
        <w:t>并且可编辑语音输入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录音/回放功能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分段录音，总长600秒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空中写频功能(选件)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采用主动消噪技术(ANR)，保证优异的语音质量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坚固耐用。符合美国军用标准MIL-STD810 C/D/E/F/G 11项环境试验标准</w:t>
      </w:r>
      <w:r>
        <w:rPr>
          <w:rFonts w:hint="eastAsia" w:ascii="Arial" w:hAnsi="Arial" w:eastAsia="宋体"/>
          <w:szCs w:val="22"/>
          <w:lang w:eastAsia="zh-CN"/>
        </w:rPr>
        <w:t>，</w:t>
      </w:r>
    </w:p>
    <w:p>
      <w:pPr>
        <w:pStyle w:val="13"/>
        <w:numPr>
          <w:ilvl w:val="0"/>
          <w:numId w:val="0"/>
        </w:numPr>
        <w:ind w:left="840" w:leftChars="0" w:firstLine="420" w:firstLineChars="200"/>
        <w:jc w:val="both"/>
        <w:rPr>
          <w:rFonts w:hint="eastAsia" w:ascii="Arial" w:hAnsi="Arial" w:eastAsia="宋体"/>
          <w:szCs w:val="22"/>
          <w:lang w:eastAsia="zh-CN"/>
        </w:rPr>
      </w:pPr>
      <w:r>
        <w:rPr>
          <w:rFonts w:hint="eastAsia" w:ascii="Arial" w:hAnsi="Arial" w:eastAsia="宋体"/>
          <w:szCs w:val="22"/>
        </w:rPr>
        <w:t>防尘和防水通过国际标准IP67的测试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支持扩展GPS /北斗定位与校时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支持扩展500小时录音</w:t>
      </w:r>
      <w:r>
        <w:rPr>
          <w:rFonts w:hint="eastAsia" w:ascii="Arial" w:hAnsi="Arial" w:eastAsia="宋体"/>
          <w:color w:val="FF0000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color w:val="FF0000"/>
          <w:szCs w:val="22"/>
        </w:rPr>
      </w:pPr>
      <w:r>
        <w:rPr>
          <w:rFonts w:hint="eastAsia" w:ascii="Arial" w:hAnsi="Arial" w:eastAsia="宋体"/>
          <w:color w:val="FF0000"/>
          <w:szCs w:val="22"/>
          <w:lang w:val="en-US" w:eastAsia="zh-CN"/>
        </w:rPr>
        <w:t>场强测试功能，</w:t>
      </w:r>
      <w:r>
        <w:rPr>
          <w:rFonts w:hint="eastAsia" w:ascii="Arial" w:hAnsi="Arial" w:eastAsia="宋体"/>
          <w:color w:val="FF0000"/>
          <w:szCs w:val="22"/>
        </w:rPr>
        <w:t>能够检测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来自基站当前频道的场强</w:t>
      </w:r>
      <w:r>
        <w:rPr>
          <w:rFonts w:hint="eastAsia" w:ascii="Arial" w:hAnsi="Arial" w:eastAsia="宋体"/>
          <w:color w:val="FF0000"/>
          <w:szCs w:val="22"/>
        </w:rPr>
        <w:t>信号，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为场所信号覆盖提供直观数据参考，进而改善网络覆盖质量；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数字-DMR模式(选件)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符合ETSI DMR 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 xml:space="preserve">II </w:t>
      </w:r>
      <w:r>
        <w:rPr>
          <w:rFonts w:hint="eastAsia" w:ascii="Arial" w:hAnsi="Arial" w:eastAsia="宋体"/>
          <w:szCs w:val="22"/>
          <w:lang w:val="en-US" w:eastAsia="zh-CN"/>
        </w:rPr>
        <w:t>/</w:t>
      </w:r>
      <w:r>
        <w:rPr>
          <w:rFonts w:hint="eastAsia" w:ascii="Arial" w:hAnsi="Arial" w:eastAsia="宋体"/>
          <w:szCs w:val="22"/>
        </w:rPr>
        <w:t>Tier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III标准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支持接入</w:t>
      </w:r>
      <w:r>
        <w:rPr>
          <w:rFonts w:hint="eastAsia" w:ascii="Arial" w:hAnsi="Arial" w:eastAsia="宋体"/>
          <w:color w:val="FF0000"/>
          <w:szCs w:val="22"/>
        </w:rPr>
        <w:t>Tier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color w:val="FF0000"/>
          <w:szCs w:val="22"/>
        </w:rPr>
        <w:t>III</w:t>
      </w:r>
      <w:r>
        <w:rPr>
          <w:rFonts w:hint="eastAsia" w:ascii="Arial" w:hAnsi="Arial" w:eastAsia="宋体"/>
          <w:color w:val="FF0000"/>
          <w:szCs w:val="22"/>
          <w:lang w:val="en-US" w:eastAsia="zh-CN"/>
        </w:rPr>
        <w:t>专业集群系统；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12.5kHz载频2时隙TDMA方式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个别呼叫，组呼，全呼，广播呼叫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 xml:space="preserve"> 状态信息，文本信息，GPS数据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具有呼叫强拆功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直通模式下双时隙通信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内置15bit数字加密和DMR标准的ARC4 40bit加密功能</w:t>
      </w:r>
      <w:r>
        <w:rPr>
          <w:rFonts w:hint="eastAsia" w:ascii="Arial" w:hAnsi="Arial" w:eastAsia="宋体"/>
          <w:szCs w:val="22"/>
          <w:lang w:val="en-US" w:eastAsia="zh-CN"/>
        </w:rPr>
        <w:t>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超窄带FDMA方式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6.25kHz信道间隔和12.5kHz信道间隔可编程选择设置。使用灵活,频谱利用率高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支持语音业务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个别选呼，组呼，全呼，广播呼叫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支持数据业务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状态信息，文本信息 (短数据，长数据)，GPS数据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透明传输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具有15bit的语音加密功能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空中别名功能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呼叫方将自己的别名或ID发送到接收方显示出来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遥毙/复活/远程监听/远程检测(按需配置)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数字常规模式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</w:rPr>
        <w:t>在多中转台IP联网下能够自动判选和切换到</w:t>
      </w:r>
      <w:r>
        <w:rPr>
          <w:rFonts w:hint="eastAsia" w:ascii="Arial" w:hAnsi="Arial" w:eastAsia="宋体"/>
          <w:szCs w:val="22"/>
          <w:lang w:val="en-US" w:eastAsia="zh-CN"/>
        </w:rPr>
        <w:t>更</w:t>
      </w:r>
      <w:r>
        <w:rPr>
          <w:rFonts w:hint="eastAsia" w:ascii="Arial" w:hAnsi="Arial" w:eastAsia="宋体"/>
          <w:szCs w:val="22"/>
        </w:rPr>
        <w:t>佳信号的中转台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漫游通信无需手动切换信道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数字/模拟混合工作模式，双模双待，自适应响应。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63个RAN码。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NEXEDGE C型数字集群和Gen2数字集群(</w:t>
      </w:r>
      <w:r>
        <w:rPr>
          <w:rFonts w:hint="eastAsia" w:ascii="Arial" w:hAnsi="Arial" w:eastAsia="宋体"/>
          <w:szCs w:val="22"/>
          <w:lang w:val="en-US" w:eastAsia="zh-CN"/>
        </w:rPr>
        <w:t>选件</w:t>
      </w:r>
      <w:r>
        <w:rPr>
          <w:rFonts w:hint="eastAsia" w:ascii="Arial" w:hAnsi="Arial" w:eastAsia="宋体"/>
          <w:szCs w:val="22"/>
        </w:rPr>
        <w:t>)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优先呼叫(可分8个级别)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延迟加入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遇忙排队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4个优先接收ID实现强插通信动态重组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ESN验证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2"/>
          <w:numId w:val="4"/>
        </w:numPr>
        <w:ind w:left="1890" w:leftChars="0" w:hanging="420" w:firstLineChars="0"/>
        <w:jc w:val="left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自动登记，漫游通信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1470" w:leftChars="0"/>
        <w:jc w:val="left"/>
        <w:rPr>
          <w:rFonts w:hint="eastAsia" w:ascii="Arial" w:hAnsi="Arial" w:eastAsia="宋体"/>
          <w:szCs w:val="22"/>
        </w:rPr>
      </w:pPr>
    </w:p>
    <w:p>
      <w:pPr>
        <w:pStyle w:val="13"/>
        <w:numPr>
          <w:ilvl w:val="0"/>
          <w:numId w:val="2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模拟模式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支持模拟常规模式和LTR集群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PTT-ID/ANI</w:t>
      </w:r>
      <w:r>
        <w:rPr>
          <w:rFonts w:hint="eastAsia" w:ascii="Arial" w:hAnsi="Arial" w:eastAsia="宋体"/>
          <w:szCs w:val="22"/>
          <w:lang w:eastAsia="zh-CN"/>
        </w:rPr>
        <w:t>（</w:t>
      </w:r>
      <w:r>
        <w:rPr>
          <w:rFonts w:hint="eastAsia" w:ascii="Arial" w:hAnsi="Arial" w:eastAsia="宋体"/>
          <w:szCs w:val="22"/>
          <w:lang w:val="en-US" w:eastAsia="zh-CN"/>
        </w:rPr>
        <w:t>仅发射）</w:t>
      </w:r>
      <w:bookmarkStart w:id="6" w:name="_GoBack"/>
      <w:bookmarkEnd w:id="6"/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内置扰频加密功能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pStyle w:val="13"/>
        <w:numPr>
          <w:ilvl w:val="2"/>
          <w:numId w:val="3"/>
        </w:numPr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szCs w:val="22"/>
        </w:rPr>
        <w:t>内置多种信令</w:t>
      </w:r>
      <w:r>
        <w:rPr>
          <w:rFonts w:hint="eastAsia" w:ascii="Arial" w:hAnsi="Arial" w:eastAsia="宋体"/>
          <w:szCs w:val="22"/>
          <w:lang w:eastAsia="zh-CN"/>
        </w:rPr>
        <w:t>：</w:t>
      </w:r>
      <w:r>
        <w:rPr>
          <w:rFonts w:hint="eastAsia" w:ascii="Arial" w:hAnsi="Arial" w:eastAsia="宋体"/>
          <w:szCs w:val="22"/>
        </w:rPr>
        <w:t>QT/DQT编码和解码，DTMF编码/解码，FleetSync/ FleetSync</w:t>
      </w:r>
      <w:r>
        <w:rPr>
          <w:rFonts w:hint="eastAsia" w:ascii="Arial" w:hAnsi="Arial" w:eastAsia="宋体"/>
          <w:szCs w:val="22"/>
          <w:lang w:val="en-US" w:eastAsia="zh-CN"/>
        </w:rPr>
        <w:t xml:space="preserve"> </w:t>
      </w:r>
      <w:r>
        <w:rPr>
          <w:rFonts w:hint="eastAsia" w:ascii="Arial" w:hAnsi="Arial" w:eastAsia="宋体"/>
          <w:szCs w:val="22"/>
        </w:rPr>
        <w:t>ll</w:t>
      </w:r>
      <w:r>
        <w:rPr>
          <w:rFonts w:hint="eastAsia" w:ascii="Arial" w:hAnsi="Arial" w:eastAsia="宋体"/>
          <w:szCs w:val="22"/>
          <w:lang w:eastAsia="zh-CN"/>
        </w:rPr>
        <w:t>，</w:t>
      </w:r>
      <w:r>
        <w:rPr>
          <w:rFonts w:hint="eastAsia" w:ascii="Arial" w:hAnsi="Arial" w:eastAsia="宋体"/>
          <w:szCs w:val="22"/>
        </w:rPr>
        <w:t>MDC1200</w:t>
      </w:r>
      <w:r>
        <w:rPr>
          <w:rFonts w:hint="eastAsia" w:ascii="Arial" w:hAnsi="Arial" w:eastAsia="宋体"/>
          <w:szCs w:val="22"/>
          <w:lang w:eastAsia="zh-CN"/>
        </w:rPr>
        <w:t>；</w:t>
      </w:r>
    </w:p>
    <w:p>
      <w:pPr>
        <w:numPr>
          <w:ilvl w:val="0"/>
          <w:numId w:val="0"/>
        </w:numPr>
        <w:ind w:left="840" w:leftChars="0"/>
        <w:jc w:val="left"/>
        <w:rPr>
          <w:rFonts w:hint="eastAsia" w:ascii="Arial" w:hAnsi="Arial" w:eastAsia="宋体"/>
          <w:szCs w:val="22"/>
          <w:lang w:val="en-US" w:eastAsia="zh-CN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ind w:left="1260" w:leftChars="600" w:firstLine="420" w:firstLineChars="200"/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 w:ascii="Arial" w:hAnsi="Arial" w:eastAsia="宋体"/>
          <w:szCs w:val="22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225"/>
        <w:gridCol w:w="50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通用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~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信道数量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260(标配），1000（选配）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区域数量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7.5VDC±20%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电池使用时间（FDMA/TDMA)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5-5-90工作循环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约11小时（KNB-57L电池）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主机工作温度范围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尺寸（宽x高x厚）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59x119.6x36.4mm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54x119.6x39mm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重量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本机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配KNB-57L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支持标准 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301 489-3，EN 301 489-5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300 113，EN 300 219,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300 328，EN 300 440，EN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60065，EN 60215，EN 60950-1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3%误码率（6.25kHz/12.5kHz）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0.20μV/0.25μV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100" w:hanging="1100" w:hangingChars="5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NXDN 1%识码率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（6.25kHz/12.5kHz）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0.32μV/0.45μV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5%识码率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 1%识码率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EIA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0.45μV/0.35μV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68dB/76dB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内置扬声器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1000mW/8Ω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发射功率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高5W/中4W/低1W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-36dBm≤1GHz，-30dBm&gt;1GHcz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剩余调频(模拟)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DMR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ETSITS102 361-1，-2，-3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35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16KOF3E，8K5F3E，8K30F1E，8K30F1D8K30F7W，7K50F2D，7K60FXE，7K60FXD4K00F1E，4K00F1D，4K00F7W，4K00F2D</w:t>
            </w: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t>*根据实际测量</w:t>
      </w:r>
    </w:p>
    <w:p>
      <w:pPr>
        <w:rPr>
          <w:rFonts w:hint="eastAsia"/>
        </w:rPr>
      </w:pPr>
      <w:r>
        <w:rPr>
          <w:rFonts w:hint="eastAsia"/>
        </w:rPr>
        <w:t>上述数据是典型值。</w:t>
      </w:r>
    </w:p>
    <w:p>
      <w:pPr>
        <w:rPr>
          <w:rFonts w:hint="eastAsia"/>
        </w:rPr>
      </w:pPr>
      <w:r>
        <w:rPr>
          <w:rFonts w:hint="eastAsia"/>
        </w:rPr>
        <w:t>固件和软件的升级细节和时间是不固定的，恕不预先通知。</w:t>
      </w:r>
    </w:p>
    <w:p>
      <w:pPr>
        <w:rPr>
          <w:rFonts w:hint="eastAsia"/>
        </w:rPr>
      </w:pPr>
      <w:r>
        <w:rPr>
          <w:rFonts w:hint="eastAsia"/>
        </w:rPr>
        <w:t>由于技术不断地发展，以上数据有可能变更，恕不预先通知。</w:t>
      </w:r>
    </w:p>
    <w:p/>
    <w:p/>
    <w:p/>
    <w:p/>
    <w:p/>
    <w:p/>
    <w:p/>
    <w:p/>
    <w:p/>
    <w:p/>
    <w:p>
      <w:pPr>
        <w:pStyle w:val="2"/>
        <w:rPr>
          <w:rFonts w:hint="eastAsia"/>
          <w:lang w:eastAsia="zh-CN"/>
        </w:rPr>
      </w:pPr>
      <w:bookmarkStart w:id="3" w:name="_Toc30620"/>
      <w:bookmarkStart w:id="4" w:name="_Toc14004"/>
      <w:bookmarkStart w:id="5" w:name="_Toc5208"/>
      <w:r>
        <w:rPr>
          <w:rFonts w:hint="eastAsia"/>
          <w:lang w:eastAsia="zh-CN"/>
        </w:rPr>
        <w:t>标配附件</w:t>
      </w:r>
      <w:bookmarkEnd w:id="3"/>
      <w:bookmarkEnd w:id="4"/>
      <w:bookmarkEnd w:id="5"/>
    </w:p>
    <w:tbl>
      <w:tblPr>
        <w:tblStyle w:val="9"/>
        <w:tblpPr w:leftFromText="180" w:rightFromText="180" w:vertAnchor="text" w:horzAnchor="page" w:tblpX="2052" w:tblpY="347"/>
        <w:tblOverlap w:val="never"/>
        <w:tblW w:w="87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2520"/>
        <w:gridCol w:w="1335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背 夹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(KBH-11)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7" name="图片 7" descr="IMG_8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848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天 线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(KRA-27)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660400" cy="2444750"/>
                  <wp:effectExtent l="0" t="0" r="0" b="635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锂离子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电池</w:t>
            </w: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(KNB-57L)</w:t>
            </w:r>
          </w:p>
          <w:p>
            <w:pPr>
              <w:jc w:val="center"/>
              <w:rPr>
                <w:rFonts w:hint="default" w:ascii="Arial" w:hAnsi="Arial" w:eastAsiaTheme="minorEastAsia" w:cstheme="minorBidi"/>
                <w:b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(1900mAh)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Arial" w:eastAsia="宋体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1457325" cy="1943100"/>
                  <wp:effectExtent l="0" t="0" r="3175" b="0"/>
                  <wp:docPr id="6" name="图片 6" descr="IMG_8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847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5" w:type="dxa"/>
            <w:vAlign w:val="center"/>
          </w:tcPr>
          <w:p>
            <w:pPr>
              <w:jc w:val="both"/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6" w:hRule="atLeast"/>
        </w:trPr>
        <w:tc>
          <w:tcPr>
            <w:tcW w:w="2075" w:type="dxa"/>
            <w:vAlign w:val="center"/>
          </w:tcPr>
          <w:p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快速</w:t>
            </w:r>
            <w:r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充电器</w:t>
            </w:r>
          </w:p>
          <w:p>
            <w:pPr>
              <w:jc w:val="center"/>
              <w:rPr>
                <w:rFonts w:hint="default" w:eastAsiaTheme="minor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(KSC-25LS)</w:t>
            </w:r>
          </w:p>
        </w:tc>
        <w:tc>
          <w:tcPr>
            <w:tcW w:w="6675" w:type="dxa"/>
            <w:gridSpan w:val="3"/>
            <w:vAlign w:val="center"/>
          </w:tcPr>
          <w:p>
            <w:pPr>
              <w:jc w:val="center"/>
            </w:pPr>
            <w:r>
              <w:drawing>
                <wp:inline distT="0" distB="0" distL="114300" distR="114300">
                  <wp:extent cx="3581400" cy="2139950"/>
                  <wp:effectExtent l="0" t="0" r="0" b="635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0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rPr>
          <w:rFonts w:hint="eastAsia"/>
          <w:b/>
          <w:sz w:val="40"/>
          <w:szCs w:val="40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3446E6"/>
    <w:multiLevelType w:val="multilevel"/>
    <w:tmpl w:val="283446E6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89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abstractNum w:abstractNumId="1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3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DE2DDD"/>
    <w:rsid w:val="017512B4"/>
    <w:rsid w:val="03824AAC"/>
    <w:rsid w:val="05243941"/>
    <w:rsid w:val="05604AA5"/>
    <w:rsid w:val="05FE23E4"/>
    <w:rsid w:val="07C75183"/>
    <w:rsid w:val="08F71A98"/>
    <w:rsid w:val="0F8910A9"/>
    <w:rsid w:val="111425F0"/>
    <w:rsid w:val="145D3689"/>
    <w:rsid w:val="155C2C83"/>
    <w:rsid w:val="163C6D3C"/>
    <w:rsid w:val="16B32D77"/>
    <w:rsid w:val="16E11692"/>
    <w:rsid w:val="16E66D61"/>
    <w:rsid w:val="1A7B3BAB"/>
    <w:rsid w:val="1AC6529E"/>
    <w:rsid w:val="1C36219D"/>
    <w:rsid w:val="1CE943B4"/>
    <w:rsid w:val="1DD2442A"/>
    <w:rsid w:val="1E94348E"/>
    <w:rsid w:val="1FA932E3"/>
    <w:rsid w:val="209459C7"/>
    <w:rsid w:val="21294361"/>
    <w:rsid w:val="21AD6D40"/>
    <w:rsid w:val="21CE6CB6"/>
    <w:rsid w:val="22436676"/>
    <w:rsid w:val="22BD7457"/>
    <w:rsid w:val="23AC53CD"/>
    <w:rsid w:val="243E6375"/>
    <w:rsid w:val="25900E53"/>
    <w:rsid w:val="25BF7042"/>
    <w:rsid w:val="26CA3628"/>
    <w:rsid w:val="272555CB"/>
    <w:rsid w:val="275B0FEC"/>
    <w:rsid w:val="27CC3C98"/>
    <w:rsid w:val="29C10D80"/>
    <w:rsid w:val="2AF73935"/>
    <w:rsid w:val="2B9E594C"/>
    <w:rsid w:val="2C574478"/>
    <w:rsid w:val="2E0A551A"/>
    <w:rsid w:val="311A5FF2"/>
    <w:rsid w:val="31777D04"/>
    <w:rsid w:val="320F6A40"/>
    <w:rsid w:val="33313908"/>
    <w:rsid w:val="336D632F"/>
    <w:rsid w:val="34080E52"/>
    <w:rsid w:val="36B1347B"/>
    <w:rsid w:val="37385DE2"/>
    <w:rsid w:val="377F2724"/>
    <w:rsid w:val="3831701C"/>
    <w:rsid w:val="383C7CBE"/>
    <w:rsid w:val="3C522566"/>
    <w:rsid w:val="3D601A89"/>
    <w:rsid w:val="3EB412B6"/>
    <w:rsid w:val="3F514D57"/>
    <w:rsid w:val="44E977E0"/>
    <w:rsid w:val="48022966"/>
    <w:rsid w:val="488717E9"/>
    <w:rsid w:val="48C52312"/>
    <w:rsid w:val="4A4756D4"/>
    <w:rsid w:val="4A53205B"/>
    <w:rsid w:val="4B143261"/>
    <w:rsid w:val="4B180E1F"/>
    <w:rsid w:val="4B7C7DE3"/>
    <w:rsid w:val="4C082C41"/>
    <w:rsid w:val="4E8D61CF"/>
    <w:rsid w:val="4EAF439C"/>
    <w:rsid w:val="4F075432"/>
    <w:rsid w:val="4F1A33B7"/>
    <w:rsid w:val="4FED4628"/>
    <w:rsid w:val="50267B3A"/>
    <w:rsid w:val="506A1680"/>
    <w:rsid w:val="50AD6BE4"/>
    <w:rsid w:val="53051C89"/>
    <w:rsid w:val="531445C2"/>
    <w:rsid w:val="54403B23"/>
    <w:rsid w:val="55D01046"/>
    <w:rsid w:val="56876E58"/>
    <w:rsid w:val="56D66003"/>
    <w:rsid w:val="587632DC"/>
    <w:rsid w:val="58885441"/>
    <w:rsid w:val="589A10C5"/>
    <w:rsid w:val="58E40592"/>
    <w:rsid w:val="596A4F3B"/>
    <w:rsid w:val="5B0D4D70"/>
    <w:rsid w:val="5B7756EE"/>
    <w:rsid w:val="5D9933F8"/>
    <w:rsid w:val="5E624433"/>
    <w:rsid w:val="603F4D07"/>
    <w:rsid w:val="61AD3208"/>
    <w:rsid w:val="621C0D9D"/>
    <w:rsid w:val="6261649F"/>
    <w:rsid w:val="627B5AC3"/>
    <w:rsid w:val="63612F0B"/>
    <w:rsid w:val="63870498"/>
    <w:rsid w:val="65226971"/>
    <w:rsid w:val="65B5753E"/>
    <w:rsid w:val="65C57596"/>
    <w:rsid w:val="65E322FD"/>
    <w:rsid w:val="69A27DD9"/>
    <w:rsid w:val="69DA174D"/>
    <w:rsid w:val="69E71C90"/>
    <w:rsid w:val="69E91EAC"/>
    <w:rsid w:val="6ADD44FB"/>
    <w:rsid w:val="6B480E55"/>
    <w:rsid w:val="6B5740E7"/>
    <w:rsid w:val="6D102A05"/>
    <w:rsid w:val="6D260D22"/>
    <w:rsid w:val="6DFE57FA"/>
    <w:rsid w:val="6EC72405"/>
    <w:rsid w:val="6F9208F0"/>
    <w:rsid w:val="70217FA0"/>
    <w:rsid w:val="712D50B1"/>
    <w:rsid w:val="726B39D4"/>
    <w:rsid w:val="72A526E9"/>
    <w:rsid w:val="752A2293"/>
    <w:rsid w:val="77277E53"/>
    <w:rsid w:val="779A6594"/>
    <w:rsid w:val="77D777E8"/>
    <w:rsid w:val="79224A93"/>
    <w:rsid w:val="79A03FCF"/>
    <w:rsid w:val="7B5353D8"/>
    <w:rsid w:val="7C413482"/>
    <w:rsid w:val="7C5E16DD"/>
    <w:rsid w:val="7C9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1576</Words>
  <Characters>2482</Characters>
  <Lines>0</Lines>
  <Paragraphs>0</Paragraphs>
  <TotalTime>2</TotalTime>
  <ScaleCrop>false</ScaleCrop>
  <LinksUpToDate>false</LinksUpToDate>
  <CharactersWithSpaces>2601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2023-04-26T01:31:19Z</dcterms:modified>
  <dc:title>NX-3320-C1数字对讲机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A173627EB58C4F35ABE33FBE9DB0A2D3</vt:lpwstr>
  </property>
</Properties>
</file>