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3162300" cy="717550"/>
            <wp:effectExtent l="0" t="0" r="0" b="635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sdt>
      <w:sdtPr>
        <w:rPr>
          <w:b/>
          <w:sz w:val="64"/>
          <w:szCs w:val="64"/>
          <w:lang w:val="en-US"/>
        </w:rPr>
        <w:alias w:val="Document Title"/>
        <w:tag w:val="Cover_Document_Title"/>
        <w:id w:val="37766366"/>
        <w:lock w:val="sdtLocked"/>
      </w:sdtPr>
      <w:sdtEndPr>
        <w:rPr>
          <w:b/>
          <w:color w:val="0000FF"/>
          <w:sz w:val="56"/>
          <w:szCs w:val="56"/>
          <w:lang w:val="en-US"/>
        </w:rPr>
      </w:sdtEndPr>
      <w:sdtContent>
        <w:sdt>
          <w:sdtPr>
            <w:rPr>
              <w:rFonts w:hint="eastAsia"/>
              <w:b/>
              <w:sz w:val="64"/>
              <w:szCs w:val="64"/>
              <w:lang w:val="en-US"/>
            </w:rPr>
            <w:alias w:val="标题"/>
            <w:tag w:val="标题"/>
            <w:id w:val="3827719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 w:multiLine="1"/>
          </w:sdtPr>
          <w:sdtEndPr>
            <w:rPr>
              <w:rFonts w:hint="eastAsia"/>
              <w:b/>
              <w:color w:val="0000FF"/>
              <w:sz w:val="56"/>
              <w:szCs w:val="56"/>
              <w:lang w:val="en-US"/>
            </w:rPr>
          </w:sdtEndPr>
          <w:sdtContent>
            <w:p>
              <w:pPr>
                <w:rPr>
                  <w:b/>
                  <w:color w:val="0000FF"/>
                  <w:sz w:val="56"/>
                  <w:szCs w:val="56"/>
                  <w:lang w:val="en-US"/>
                </w:rPr>
              </w:pP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NXR-5700数字集群中继台产品规格书</w:t>
              </w:r>
            </w:p>
          </w:sdtContent>
        </w:sdt>
      </w:sdtContent>
    </w:sdt>
    <w:sdt>
      <w:sdtPr>
        <w:rPr>
          <w:rFonts w:hint="eastAsia"/>
          <w:b/>
          <w:sz w:val="40"/>
          <w:szCs w:val="40"/>
          <w:lang w:eastAsia="zh-CN"/>
        </w:rPr>
        <w:alias w:val="Project Name"/>
        <w:tag w:val="Cover_Project_Name"/>
        <w:id w:val="37766369"/>
        <w:lock w:val="sdtLocked"/>
      </w:sdtPr>
      <w:sdtEndPr>
        <w:rPr>
          <w:rFonts w:hint="eastAsia"/>
          <w:b/>
          <w:sz w:val="64"/>
          <w:szCs w:val="64"/>
          <w:lang w:eastAsia="zh-CN"/>
        </w:rPr>
      </w:sdtEndPr>
      <w:sdtContent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rPr>
              <w:rFonts w:hint="eastAsia"/>
              <w:b/>
              <w:sz w:val="64"/>
              <w:szCs w:val="64"/>
              <w:lang w:eastAsia="zh-CN"/>
            </w:rPr>
          </w:pPr>
          <w:r>
            <w:rPr>
              <w:rFonts w:hint="eastAsia"/>
              <w:b/>
              <w:sz w:val="40"/>
              <w:szCs w:val="40"/>
              <w:lang w:val="en-US" w:eastAsia="zh-CN"/>
            </w:rPr>
            <w:t>建伍</w:t>
          </w:r>
          <w:r>
            <w:rPr>
              <w:rFonts w:hint="eastAsia"/>
              <w:b/>
              <w:sz w:val="40"/>
              <w:szCs w:val="40"/>
              <w:lang w:eastAsia="zh-CN"/>
            </w:rPr>
            <w:t>终端产品线</w:t>
          </w:r>
        </w:p>
      </w:sdtContent>
    </w:sdt>
    <w:sdt>
      <w:sdtPr>
        <w:rPr>
          <w:b/>
          <w:sz w:val="40"/>
          <w:szCs w:val="40"/>
        </w:rPr>
        <w:alias w:val="标题"/>
        <w:id w:val="3827722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Fonts w:hint="eastAsia"/>
          <w:b/>
          <w:sz w:val="40"/>
          <w:szCs w:val="40"/>
        </w:rPr>
      </w:sdtEndPr>
      <w:sdtContent>
        <w:p>
          <w:pPr>
            <w:rPr>
              <w:rFonts w:hint="eastAsia"/>
              <w:b/>
              <w:sz w:val="40"/>
              <w:szCs w:val="40"/>
            </w:rPr>
          </w:pPr>
          <w:r>
            <w:rPr>
              <w:rFonts w:hint="eastAsia"/>
              <w:b/>
              <w:sz w:val="40"/>
              <w:szCs w:val="40"/>
              <w:lang w:eastAsia="zh-CN"/>
            </w:rPr>
            <w:t>NXR-5700数字集群中继台产品规格书</w:t>
          </w:r>
        </w:p>
      </w:sdtContent>
    </w:sdt>
    <w:p>
      <w:pPr>
        <w:rPr>
          <w:rFonts w:hint="eastAsia"/>
          <w:b/>
          <w:sz w:val="40"/>
          <w:szCs w:val="40"/>
          <w:lang w:val="en-US" w:eastAsia="zh-CN"/>
        </w:rPr>
      </w:pPr>
    </w:p>
    <w:tbl>
      <w:tblPr>
        <w:tblStyle w:val="8"/>
        <w:tblW w:w="917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1193"/>
        <w:gridCol w:w="1193"/>
        <w:gridCol w:w="1834"/>
        <w:gridCol w:w="3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版本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日期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作者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审核者</w:t>
            </w:r>
          </w:p>
        </w:tc>
        <w:tc>
          <w:tcPr>
            <w:tcW w:w="3865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V1.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3.2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kenwus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widowControl/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基线文档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</w:tbl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rFonts w:hint="eastAsia" w:ascii="宋体" w:hAnsi="宋体" w:eastAsia="宋体" w:cs="宋体"/>
          <w:color w:val="auto"/>
          <w:sz w:val="18"/>
          <w:szCs w:val="18"/>
        </w:rPr>
      </w:pPr>
    </w:p>
    <w:p>
      <w:pPr>
        <w:rPr>
          <w:rFonts w:hint="eastAsia" w:ascii="宋体" w:hAnsi="宋体" w:eastAsia="宋体" w:cs="宋体"/>
          <w:color w:val="auto"/>
          <w:sz w:val="18"/>
          <w:szCs w:val="18"/>
        </w:rPr>
      </w:pPr>
      <w:r>
        <w:rPr>
          <w:rFonts w:hint="eastAsia" w:ascii="宋体" w:hAnsi="宋体" w:eastAsia="宋体" w:cs="宋体"/>
          <w:color w:val="auto"/>
          <w:sz w:val="18"/>
          <w:szCs w:val="18"/>
        </w:rPr>
        <w:t>版权所有</w:t>
      </w:r>
      <w:r>
        <w:rPr>
          <w:rFonts w:hint="eastAsia" w:ascii="宋体" w:hAnsi="宋体" w:eastAsia="宋体" w:cs="宋体"/>
          <w:color w:val="auto"/>
          <w:sz w:val="18"/>
          <w:szCs w:val="18"/>
          <w:lang w:val="en-US" w:eastAsia="zh-CN"/>
        </w:rPr>
        <w:t>日本JVC建伍株式会社</w:t>
      </w:r>
      <w:r>
        <w:rPr>
          <w:rFonts w:hint="eastAsia" w:ascii="宋体" w:hAnsi="宋体" w:eastAsia="宋体" w:cs="宋体"/>
          <w:color w:val="auto"/>
          <w:sz w:val="18"/>
          <w:szCs w:val="18"/>
        </w:rPr>
        <w:t>保留所有权利</w:t>
      </w:r>
    </w:p>
    <w:p>
      <w:pPr>
        <w:rPr>
          <w:rFonts w:hint="eastAsia" w:ascii="宋体" w:hAnsi="宋体" w:eastAsia="宋体" w:cs="宋体"/>
          <w:color w:val="auto"/>
          <w:sz w:val="18"/>
          <w:szCs w:val="18"/>
        </w:rPr>
      </w:pPr>
      <w:r>
        <w:rPr>
          <w:rFonts w:hint="eastAsia" w:ascii="宋体" w:hAnsi="宋体" w:eastAsia="宋体" w:cs="宋体"/>
          <w:color w:val="auto"/>
          <w:sz w:val="18"/>
          <w:szCs w:val="18"/>
        </w:rPr>
        <w:t>版权声明：</w:t>
      </w:r>
    </w:p>
    <w:p>
      <w:pPr>
        <w:rPr>
          <w:rFonts w:hint="eastAsia" w:ascii="宋体" w:hAnsi="宋体" w:eastAsia="宋体" w:cs="宋体"/>
          <w:color w:val="auto"/>
          <w:sz w:val="18"/>
          <w:szCs w:val="18"/>
        </w:rPr>
      </w:pPr>
      <w:r>
        <w:rPr>
          <w:rFonts w:hint="eastAsia" w:ascii="宋体" w:hAnsi="宋体" w:eastAsia="宋体" w:cs="宋体"/>
          <w:color w:val="auto"/>
          <w:sz w:val="18"/>
          <w:szCs w:val="18"/>
        </w:rPr>
        <w:t>本文档著作权由</w:t>
      </w:r>
      <w:r>
        <w:rPr>
          <w:rFonts w:hint="eastAsia" w:ascii="宋体" w:hAnsi="宋体" w:eastAsia="宋体" w:cs="宋体"/>
          <w:color w:val="auto"/>
          <w:sz w:val="18"/>
          <w:szCs w:val="18"/>
          <w:lang w:val="en-US" w:eastAsia="zh-CN"/>
        </w:rPr>
        <w:t>日本JVC建伍株式会</w:t>
      </w:r>
      <w:r>
        <w:rPr>
          <w:rFonts w:hint="eastAsia" w:ascii="宋体" w:hAnsi="宋体" w:eastAsia="宋体" w:cs="宋体"/>
          <w:color w:val="auto"/>
          <w:sz w:val="18"/>
          <w:szCs w:val="18"/>
        </w:rPr>
        <w:t>享有。</w:t>
      </w:r>
    </w:p>
    <w:p>
      <w:pPr>
        <w:rPr>
          <w:rFonts w:hint="eastAsia" w:ascii="宋体" w:hAnsi="宋体" w:eastAsia="宋体" w:cs="宋体"/>
          <w:color w:val="auto"/>
          <w:sz w:val="18"/>
          <w:szCs w:val="18"/>
        </w:rPr>
      </w:pPr>
      <w:r>
        <w:rPr>
          <w:rFonts w:hint="eastAsia" w:ascii="宋体" w:hAnsi="宋体" w:eastAsia="宋体" w:cs="宋体"/>
          <w:color w:val="auto"/>
          <w:sz w:val="18"/>
          <w:szCs w:val="18"/>
        </w:rPr>
        <w:t>本文档中的信息随着</w:t>
      </w:r>
      <w:r>
        <w:rPr>
          <w:rFonts w:hint="eastAsia" w:ascii="宋体" w:hAnsi="宋体" w:eastAsia="宋体" w:cs="宋体"/>
          <w:color w:val="auto"/>
          <w:sz w:val="18"/>
          <w:szCs w:val="18"/>
          <w:lang w:val="en-US" w:eastAsia="zh-CN"/>
        </w:rPr>
        <w:t>KENWOOD建伍</w:t>
      </w:r>
      <w:r>
        <w:rPr>
          <w:rFonts w:hint="eastAsia" w:ascii="宋体" w:hAnsi="宋体" w:eastAsia="宋体" w:cs="宋体"/>
          <w:color w:val="auto"/>
          <w:sz w:val="18"/>
          <w:szCs w:val="18"/>
        </w:rPr>
        <w:t>产品和技术的进步将不断更新。由于</w:t>
      </w:r>
      <w:r>
        <w:rPr>
          <w:rFonts w:hint="eastAsia" w:ascii="宋体" w:hAnsi="宋体" w:eastAsia="宋体" w:cs="宋体"/>
          <w:color w:val="auto"/>
          <w:sz w:val="18"/>
          <w:szCs w:val="18"/>
          <w:lang w:val="en-US" w:eastAsia="zh-CN"/>
        </w:rPr>
        <w:t>JVC KENWOOD集团</w:t>
      </w:r>
      <w:r>
        <w:rPr>
          <w:rFonts w:hint="eastAsia" w:ascii="宋体" w:hAnsi="宋体" w:eastAsia="宋体" w:cs="宋体"/>
          <w:color w:val="auto"/>
          <w:sz w:val="18"/>
          <w:szCs w:val="18"/>
        </w:rPr>
        <w:t>技术的不断发展，以上指标数据若有变更，以</w:t>
      </w:r>
      <w:r>
        <w:rPr>
          <w:rFonts w:hint="eastAsia" w:ascii="宋体" w:hAnsi="宋体" w:eastAsia="宋体" w:cs="宋体"/>
          <w:color w:val="auto"/>
          <w:sz w:val="18"/>
          <w:szCs w:val="18"/>
          <w:lang w:val="en-US" w:eastAsia="zh-CN"/>
        </w:rPr>
        <w:t>KENWOOD</w:t>
      </w:r>
      <w:r>
        <w:rPr>
          <w:rFonts w:hint="eastAsia" w:ascii="宋体" w:hAnsi="宋体" w:eastAsia="宋体" w:cs="宋体"/>
          <w:color w:val="auto"/>
          <w:sz w:val="18"/>
          <w:szCs w:val="18"/>
        </w:rPr>
        <w:t>的新发布资料为准，恕不另行通知。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LTR®是Transcrypt International公司的注册的商标。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AMBE+2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™</w:t>
      </w:r>
      <w:r>
        <w:rPr>
          <w:rFonts w:hint="eastAsia" w:ascii="宋体" w:hAnsi="宋体" w:eastAsia="宋体" w:cs="宋体"/>
          <w:sz w:val="18"/>
          <w:szCs w:val="18"/>
        </w:rPr>
        <w:t>是Digital Voice Systems Inc.的注册商标。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NEXEDGE®是JVC建伍株式会社的注册商标。</w:t>
      </w:r>
    </w:p>
    <w:sdt>
      <w:sdtPr>
        <w:rPr>
          <w:rFonts w:asciiTheme="minorHAnsi" w:hAnsiTheme="minorHAnsi" w:eastAsiaTheme="minorEastAsia" w:cstheme="minorBidi"/>
          <w:b w:val="0"/>
          <w:spacing w:val="0"/>
          <w:kern w:val="2"/>
          <w:sz w:val="21"/>
          <w:szCs w:val="22"/>
        </w:rPr>
        <w:id w:val="877760"/>
      </w:sdtPr>
      <w:sdtEnd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sdtEndPr>
      <w:sdtContent>
        <w:p>
          <w:pPr>
            <w:pStyle w:val="12"/>
            <w:outlineLvl w:val="9"/>
          </w:pPr>
          <w:r>
            <w:t>目录</w:t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rPr>
              <w:b w:val="0"/>
            </w:rPr>
            <w:fldChar w:fldCharType="begin"/>
          </w:r>
          <w:r>
            <w:rPr>
              <w:b w:val="0"/>
            </w:rPr>
            <w:instrText xml:space="preserve"> TOC \o "1-3" \h \z \u </w:instrText>
          </w:r>
          <w:r>
            <w:rPr>
              <w:b w:val="0"/>
            </w:rPr>
            <w:fldChar w:fldCharType="separate"/>
          </w:r>
          <w:r>
            <w:fldChar w:fldCharType="begin"/>
          </w:r>
          <w:r>
            <w:instrText xml:space="preserve"> HYPERLINK \l _Toc26484 </w:instrText>
          </w:r>
          <w:r>
            <w:fldChar w:fldCharType="separate"/>
          </w:r>
          <w:r>
            <w:t xml:space="preserve">1 </w:t>
          </w:r>
          <w:r>
            <w:rPr>
              <w:rFonts w:hint="eastAsia"/>
              <w:lang w:eastAsia="zh-CN"/>
            </w:rPr>
            <w:t>产品外观</w:t>
          </w:r>
          <w:r>
            <w:tab/>
          </w:r>
          <w:r>
            <w:fldChar w:fldCharType="begin"/>
          </w:r>
          <w:r>
            <w:instrText xml:space="preserve"> PAGEREF _Toc26484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_Toc14348 </w:instrText>
          </w:r>
          <w:r>
            <w:fldChar w:fldCharType="separate"/>
          </w:r>
          <w:r>
            <w:rPr>
              <w:rFonts w:hint="eastAsia"/>
              <w:lang w:eastAsia="zh-CN"/>
            </w:rPr>
            <w:t>2 产品特点</w:t>
          </w:r>
          <w:r>
            <w:tab/>
          </w:r>
          <w:r>
            <w:fldChar w:fldCharType="begin"/>
          </w:r>
          <w:r>
            <w:instrText xml:space="preserve"> PAGEREF _Toc14348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  <w:rPr>
              <w:rFonts w:hint="eastAsia" w:eastAsiaTheme="minorEastAsia"/>
              <w:lang w:val="en-US" w:eastAsia="zh-CN"/>
            </w:rPr>
          </w:pPr>
          <w:r>
            <w:fldChar w:fldCharType="begin"/>
          </w:r>
          <w:r>
            <w:instrText xml:space="preserve"> HYPERLINK \l _Toc9930 </w:instrText>
          </w:r>
          <w:r>
            <w:fldChar w:fldCharType="separate"/>
          </w:r>
          <w:r>
            <w:rPr>
              <w:rFonts w:hint="eastAsia"/>
              <w:lang w:eastAsia="zh-CN"/>
            </w:rPr>
            <w:t>3 产品</w:t>
          </w:r>
          <w:r>
            <w:rPr>
              <w:rFonts w:hint="eastAsia"/>
              <w:lang w:val="en-US" w:eastAsia="zh-CN"/>
            </w:rPr>
            <w:t>标准技术规格</w:t>
          </w:r>
          <w:r>
            <w:tab/>
          </w:r>
          <w:r>
            <w:fldChar w:fldCharType="end"/>
          </w:r>
          <w:r>
            <w:rPr>
              <w:rFonts w:hint="eastAsia"/>
              <w:lang w:val="en-US" w:eastAsia="zh-CN"/>
            </w:rPr>
            <w:t>7</w:t>
          </w:r>
        </w:p>
        <w:p>
          <w:pPr>
            <w:rPr>
              <w:rFonts w:ascii="Arial" w:hAnsi="Arial" w:eastAsia="宋体" w:cstheme="minorBidi"/>
              <w:b w:val="0"/>
              <w:spacing w:val="0"/>
              <w:kern w:val="0"/>
              <w:sz w:val="21"/>
              <w:szCs w:val="22"/>
            </w:rPr>
          </w:pPr>
          <w:r>
            <w:fldChar w:fldCharType="end"/>
          </w:r>
        </w:p>
      </w:sdtContent>
    </w:sdt>
    <w:p>
      <w:p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0" w:name="_Toc26484"/>
      <w:r>
        <w:rPr>
          <w:rFonts w:hint="eastAsia"/>
          <w:lang w:eastAsia="zh-CN"/>
        </w:rPr>
        <w:t>产品外观</w:t>
      </w:r>
      <w:bookmarkEnd w:id="0"/>
    </w:p>
    <w:p/>
    <w:p>
      <w:r>
        <w:rPr>
          <w:rFonts w:hint="eastAsia"/>
          <w:lang w:val="en-US" w:eastAsia="zh-CN"/>
        </w:rPr>
        <w:t xml:space="preserve">                         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1089660"/>
            <wp:effectExtent l="0" t="0" r="635" b="2540"/>
            <wp:docPr id="2" name="图片 2" descr="168347142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834714290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1267460"/>
            <wp:effectExtent l="0" t="0" r="0" b="2540"/>
            <wp:docPr id="3" name="图片 3" descr="1683471448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8347144833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6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/>
    <w:p>
      <w:pPr>
        <w:rPr>
          <w:rFonts w:hint="eastAsia"/>
        </w:rPr>
      </w:pPr>
      <w:r>
        <w:rPr>
          <w:rFonts w:hint="eastAsia"/>
          <w:lang w:eastAsia="zh-CN"/>
        </w:rPr>
        <w:t>NXR-5700</w:t>
      </w:r>
      <w:r>
        <w:rPr>
          <w:rFonts w:hint="eastAsia"/>
        </w:rPr>
        <w:t>数字</w:t>
      </w:r>
      <w:r>
        <w:rPr>
          <w:rFonts w:hint="eastAsia"/>
          <w:lang w:val="en-US" w:eastAsia="zh-CN"/>
        </w:rPr>
        <w:t>集群</w:t>
      </w:r>
      <w:r>
        <w:rPr>
          <w:rFonts w:hint="eastAsia"/>
        </w:rPr>
        <w:t>中</w:t>
      </w:r>
      <w:r>
        <w:rPr>
          <w:rFonts w:hint="eastAsia"/>
          <w:lang w:val="en-US" w:eastAsia="zh-CN"/>
        </w:rPr>
        <w:t>继</w:t>
      </w:r>
      <w:r>
        <w:rPr>
          <w:rFonts w:hint="eastAsia"/>
        </w:rPr>
        <w:t>台遵循公开的NXDN数字技术标准。内置集群控制器，可以作为数字集群系统基站和常规中</w:t>
      </w:r>
      <w:r>
        <w:rPr>
          <w:rFonts w:hint="eastAsia"/>
          <w:lang w:val="en-US" w:eastAsia="zh-CN"/>
        </w:rPr>
        <w:t>继</w:t>
      </w:r>
      <w:r>
        <w:rPr>
          <w:rFonts w:hint="eastAsia"/>
        </w:rPr>
        <w:t>台使用，并支持数字多基站IP联网工作，不同的应用模式之间平滑过渡。是既立足于现在又面向未来的高可靠性通信设备。</w:t>
      </w:r>
    </w:p>
    <w:p/>
    <w:p/>
    <w:p/>
    <w:p/>
    <w:p/>
    <w:p/>
    <w:p/>
    <w:p/>
    <w:p/>
    <w:p/>
    <w:p/>
    <w:p/>
    <w:p/>
    <w:p/>
    <w:p/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1" w:name="_Toc14348"/>
      <w:r>
        <w:rPr>
          <w:rFonts w:hint="eastAsia"/>
          <w:lang w:eastAsia="zh-CN"/>
        </w:rPr>
        <w:t>产品特点</w:t>
      </w:r>
      <w:bookmarkEnd w:id="1"/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  <w:lang w:val="en-US" w:eastAsia="zh-CN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一般特征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超窄带信道，频率使用效率高：数字模式下能够以6.25kHz信道间隔工作，大幅度提高了频率使用效率；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数字/模拟双模式：具有数字工作模式和模拟工作模式，既可以作为NXDN数字系统中继台使用，也可以作为模拟系统的中转台使用；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中继/基地台双模式：本机除了中继转发工作模式外，还可作为基地台使用，前面板配置有6个可编程功能键、2位LED显示器、3W扬声器；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内置集群控制器：集群控制器/信道机一体化，常规系统到集群系统可平滑过渡；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内置以太网络接口：无论作为常规中继台使用，还是作为集群基站使用，都支持多基站IP联网工作方式，不需要另购买以太网络接口选件；</w:t>
      </w:r>
    </w:p>
    <w:p>
      <w:pPr>
        <w:pStyle w:val="13"/>
        <w:numPr>
          <w:ilvl w:val="0"/>
          <w:numId w:val="0"/>
        </w:numPr>
        <w:ind w:left="126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  <w:lang w:val="en-US" w:eastAsia="zh-CN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数字常规工作模式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混合工作模式：数字和模拟双待机，自适应接收信号；当接到模拟信号，则自动转发模拟信号；当接到NXDN数字信号，则自动转发NXDN数字信号；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常规IP多基站联网：IP网采用单播寻址方式时，可连接16个基站；IP网采用通播寻址时，可联接48个以上基站；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b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常规无线多基站联网：使用两台（或两台以上）的NXR-5700组合形成一台主转发和一台（或多台）链路实现无线链路的多基站联网系统；</w:t>
      </w:r>
    </w:p>
    <w:p>
      <w:pPr>
        <w:pStyle w:val="13"/>
        <w:numPr>
          <w:ilvl w:val="0"/>
          <w:numId w:val="0"/>
        </w:numPr>
        <w:ind w:left="1260" w:leftChars="0"/>
        <w:jc w:val="both"/>
        <w:rPr>
          <w:rFonts w:hint="eastAsia" w:ascii="Arial" w:hAnsi="Arial" w:eastAsia="宋体"/>
          <w:b/>
          <w:szCs w:val="22"/>
          <w:lang w:val="en-US" w:eastAsia="zh-CN"/>
        </w:rPr>
      </w:pP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  <w:lang w:val="en-US" w:eastAsia="zh-CN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数字集群工作模式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发射集群/信息集群可选择：通过编程可以选择发射集群方式或信息集群方式，以满足用户不同的要求和使用习惯；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单基站NEXEDGE®数字集群：每基站信道数量至少1个，可以多达30个，可提供3000个人号码和3000组号码；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多基站IP联网NEXEDGE数字集群：IP网采用单播寻址方式时，可连接16个基站；IP网采用通播寻址时，可联接48个基站。可提供60000个人号码和60000组号码；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集群功能：支持个别选呼、小组呼叫、系统全呼、广播呼叫、PSTN/PABX呼叫（需要加装选件）、状态信息呼叫、短数据呼叫、长数据呼叫、紧急报警呼叫；还具有动态重组、遇忙排队、呼叫优先级设置（最多8级）、优先接收ID （最多4个）、ESN验证、遥毙/复活、远地编程功能；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集群业务/常规模拟转发双功能信道：NEXEDGE集群系统可以设置集群/常规转发双功能信道既可以作为数字集群系统的业务信道使用，也可以支持模拟常规对讲机的通信转发；</w:t>
      </w:r>
    </w:p>
    <w:p>
      <w:pPr>
        <w:pStyle w:val="13"/>
        <w:numPr>
          <w:ilvl w:val="0"/>
          <w:numId w:val="0"/>
        </w:numPr>
        <w:ind w:left="126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default" w:ascii="Arial" w:hAnsi="Arial" w:eastAsia="宋体"/>
          <w:b/>
          <w:szCs w:val="22"/>
          <w:lang w:val="en-US" w:eastAsia="zh-CN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模拟常规工作模式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内置QT/DQT编码/解码功能；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可设置16组动态QT/DQT；</w:t>
      </w:r>
    </w:p>
    <w:p>
      <w:pPr>
        <w:pStyle w:val="13"/>
        <w:numPr>
          <w:ilvl w:val="2"/>
          <w:numId w:val="3"/>
        </w:numPr>
        <w:ind w:left="168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配置DB25多功能插座，能够连接LTR集群控制器、MPT集群控制器等多种外部设备。</w:t>
      </w:r>
    </w:p>
    <w:p>
      <w:pPr>
        <w:pStyle w:val="2"/>
        <w:rPr>
          <w:rFonts w:hint="eastAsia"/>
          <w:lang w:eastAsia="zh-CN"/>
        </w:rPr>
      </w:pPr>
      <w:bookmarkStart w:id="2" w:name="_Toc9930"/>
      <w:r>
        <w:rPr>
          <w:rFonts w:hint="eastAsia"/>
          <w:lang w:val="en-US" w:eastAsia="zh-CN"/>
        </w:rPr>
        <w:t>产品标准技术</w:t>
      </w:r>
      <w:r>
        <w:rPr>
          <w:rFonts w:hint="eastAsia"/>
          <w:lang w:eastAsia="zh-CN"/>
        </w:rPr>
        <w:t>规格</w:t>
      </w:r>
      <w:bookmarkEnd w:id="2"/>
    </w:p>
    <w:tbl>
      <w:tblPr>
        <w:tblStyle w:val="8"/>
        <w:tblW w:w="863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3"/>
        <w:gridCol w:w="431"/>
        <w:gridCol w:w="1794"/>
        <w:gridCol w:w="50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一般规格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频率范围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136-174</w:t>
            </w:r>
            <w:bookmarkStart w:id="3" w:name="_GoBack"/>
            <w:bookmarkEnd w:id="3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信道数量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信道间隔 </w:t>
            </w:r>
          </w:p>
        </w:tc>
        <w:tc>
          <w:tcPr>
            <w:tcW w:w="2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12.5kHz/25kHz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6.25kHz/12.5kHz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频率稳定度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±0.5PPm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工作电源电压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13.2VDC（10.8-15.6VDC）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电流消耗</w:t>
            </w:r>
          </w:p>
        </w:tc>
        <w:tc>
          <w:tcPr>
            <w:tcW w:w="2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守候时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发射时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 A（高功率），9.0 A（25 W）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工作温度范围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- 30～+60℃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天线阻抗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外形尺寸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483*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*331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重量（净重）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5kg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接收机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63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接收灵敏度</w:t>
            </w:r>
          </w:p>
        </w:tc>
        <w:tc>
          <w:tcPr>
            <w:tcW w:w="2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NXDN 3%误码率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12.5kHz/6.25kHz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0.33/0.27μV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模拟12dBSINAD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25kHz/12.5kHz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0.30μV/0.30μV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邻道选择性（模拟） 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83dB/78dB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互调抑制（模拟） 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杂散相应（模拟） 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音频失真（外部扬声器） 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2%以下（在0.3W）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音频输出功率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3W（4Ω时，小于5%失真）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发射功率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25W/5W/0.5W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调制限制（模拟） 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±5kHz（25kHz信道）/±2.5kHz（12.5kHz信道）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杂散抑制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-36dBms1GHz/-30dBm&gt;1GHz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调频噪声（模拟） 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55dB/50dB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调制失真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1%以下（在1KHz）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麦克风阻抗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电波类型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25KHz:16KOF3E/12.5kHz:8K50F3E 12.5KHz:8K30F1E/6.2kHz:4K00F1E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依据EN标准或TIA/EIA-603获得的模拟测量值和所示规格均为典型值。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由于技术不断地发展，以上数据有可能变更，恕不预先通知。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right" w:pos="8280"/>
      </w:tabs>
      <w:spacing w:line="180" w:lineRule="exact"/>
      <w:ind w:right="360"/>
      <w:rPr>
        <w:rFonts w:hint="eastAsia" w:ascii="楷体_GB2312" w:eastAsia="楷体_GB2312"/>
      </w:rPr>
    </w:pPr>
    <w:r>
      <w:rPr>
        <w:rStyle w:val="11"/>
        <w:rFonts w:hint="eastAsia" w:ascii="楷体_GB2312" w:eastAsia="楷体_GB2312"/>
      </w:rPr>
      <w:t>版权所有</w:t>
    </w:r>
    <w:r>
      <w:rPr>
        <w:rStyle w:val="11"/>
        <w:rFonts w:hint="eastAsia" w:eastAsia="楷体_GB2312"/>
      </w:rPr>
      <w:t>©</w:t>
    </w:r>
    <w:r>
      <w:rPr>
        <w:rStyle w:val="11"/>
        <w:rFonts w:hint="eastAsia" w:ascii="楷体_GB2312" w:eastAsia="楷体_GB2312"/>
      </w:rPr>
      <w:t xml:space="preserve"> </w:t>
    </w:r>
    <w:r>
      <w:rPr>
        <w:rFonts w:hint="eastAsia" w:ascii="楷体_GB2312" w:eastAsia="楷体_GB2312"/>
      </w:rPr>
      <w:fldChar w:fldCharType="begin"/>
    </w:r>
    <w:r>
      <w:rPr>
        <w:rStyle w:val="11"/>
        <w:rFonts w:hint="eastAsia" w:ascii="楷体_GB2312" w:eastAsia="楷体_GB2312"/>
      </w:rPr>
      <w:instrText xml:space="preserve"> DATE \@ "yyyy" </w:instrText>
    </w:r>
    <w:r>
      <w:rPr>
        <w:rFonts w:hint="eastAsia" w:ascii="楷体_GB2312" w:eastAsia="楷体_GB2312"/>
      </w:rPr>
      <w:fldChar w:fldCharType="separate"/>
    </w:r>
    <w:r>
      <w:rPr>
        <w:rStyle w:val="11"/>
        <w:rFonts w:hint="eastAsia" w:ascii="楷体_GB2312" w:eastAsia="楷体_GB2312"/>
      </w:rPr>
      <w:t>2023</w:t>
    </w:r>
    <w:r>
      <w:rPr>
        <w:rFonts w:hint="eastAsia" w:ascii="楷体_GB2312" w:eastAsia="楷体_GB2312"/>
      </w:rPr>
      <w:fldChar w:fldCharType="end"/>
    </w:r>
    <w:r>
      <w:rPr>
        <w:rStyle w:val="11"/>
        <w:rFonts w:hint="eastAsia" w:ascii="楷体_GB2312" w:eastAsia="楷体_GB2312"/>
      </w:rPr>
      <w:t xml:space="preserve"> www.kenwood.com</w:t>
    </w:r>
    <w:r>
      <w:rPr>
        <w:rFonts w:hint="eastAsia" w:ascii="楷体_GB2312" w:eastAsia="楷体_GB2312"/>
      </w:rPr>
      <w:t xml:space="preserve">                                                                             </w:t>
    </w:r>
  </w:p>
  <w:p>
    <w:pPr>
      <w:pStyle w:val="6"/>
      <w:spacing w:line="180" w:lineRule="exact"/>
    </w:pPr>
    <w:r>
      <w:rPr>
        <w:rStyle w:val="11"/>
        <w:rFonts w:hint="eastAsia" w:ascii="楷体_GB2312" w:eastAsia="楷体_GB2312"/>
      </w:rPr>
      <w:t>内部保密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single" w:color="auto" w:sz="4" w:space="1"/>
      </w:pBdr>
      <w:jc w:val="right"/>
    </w:pPr>
    <w:r>
      <w:rPr>
        <w:u w:val="none"/>
      </w:rPr>
      <w:drawing>
        <wp:inline distT="0" distB="0" distL="114300" distR="114300">
          <wp:extent cx="1390015" cy="315595"/>
          <wp:effectExtent l="0" t="0" r="6985" b="190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0015" cy="315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C37D45"/>
    <w:multiLevelType w:val="multilevel"/>
    <w:tmpl w:val="3CC37D45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64421996"/>
    <w:multiLevelType w:val="multilevel"/>
    <w:tmpl w:val="64421996"/>
    <w:lvl w:ilvl="0" w:tentative="0">
      <w:start w:val="1"/>
      <w:numFmt w:val="decimal"/>
      <w:pStyle w:val="2"/>
      <w:lvlText w:val="%1"/>
      <w:lvlJc w:val="left"/>
    </w:lvl>
    <w:lvl w:ilvl="1" w:tentative="0">
      <w:start w:val="1"/>
      <w:numFmt w:val="decimal"/>
      <w:lvlText w:val="%1.%2"/>
      <w:lvlJc w:val="left"/>
    </w:lvl>
    <w:lvl w:ilvl="2" w:tentative="0">
      <w:start w:val="1"/>
      <w:numFmt w:val="decimal"/>
      <w:lvlText w:val="%1.%2.%3"/>
      <w:lvlJc w:val="left"/>
      <w:rPr>
        <w:rFonts w:hint="default" w:ascii="Arial" w:hAnsi="Arial" w:cs="Arial"/>
      </w:rPr>
    </w:lvl>
    <w:lvl w:ilvl="3" w:tentative="0">
      <w:start w:val="1"/>
      <w:numFmt w:val="decimal"/>
      <w:lvlText w:val="%1.%2.%3.%4"/>
      <w:lvlJc w:val="left"/>
    </w:lvl>
    <w:lvl w:ilvl="4" w:tentative="0">
      <w:start w:val="1"/>
      <w:numFmt w:val="decimal"/>
      <w:lvlText w:val="%1.%2.%3.%4.%5"/>
      <w:lvlJc w:val="left"/>
    </w:lvl>
    <w:lvl w:ilvl="5" w:tentative="0">
      <w:start w:val="1"/>
      <w:numFmt w:val="decimal"/>
      <w:lvlText w:val="%1.%2.%3.%4.%5.%6"/>
      <w:lvlJc w:val="left"/>
    </w:lvl>
    <w:lvl w:ilvl="6" w:tentative="0">
      <w:start w:val="1"/>
      <w:numFmt w:val="decimal"/>
      <w:lvlText w:val="%1.%2.%3.%4.%5.%6.%7"/>
      <w:lvlJc w:val="left"/>
    </w:lvl>
    <w:lvl w:ilvl="7" w:tentative="0">
      <w:start w:val="1"/>
      <w:numFmt w:val="decimal"/>
      <w:lvlText w:val="%1.%2.%3.%4.%5.%6.%7.%8"/>
      <w:lvlJc w:val="left"/>
    </w:lvl>
    <w:lvl w:ilvl="8" w:tentative="0">
      <w:start w:val="1"/>
      <w:numFmt w:val="decimal"/>
      <w:lvlText w:val="%1.%2.%3.%4.%5.%6.%7.%8.%9"/>
      <w:lvlJc w:val="left"/>
    </w:lvl>
  </w:abstractNum>
  <w:abstractNum w:abstractNumId="2">
    <w:nsid w:val="7580A2F1"/>
    <w:multiLevelType w:val="multilevel"/>
    <w:tmpl w:val="7580A2F1"/>
    <w:lvl w:ilvl="0" w:tentative="0">
      <w:start w:val="1"/>
      <w:numFmt w:val="bullet"/>
      <w:lvlText w:val="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68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210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52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94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336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78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420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620" w:leftChars="0" w:hanging="420" w:firstLineChars="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jNTJiZmZlN2QxMTJmYTM2ZTkwMWU2NTFiOTUzY2YifQ=="/>
  </w:docVars>
  <w:rsids>
    <w:rsidRoot w:val="00000000"/>
    <w:rsid w:val="00DE2DDD"/>
    <w:rsid w:val="017512B4"/>
    <w:rsid w:val="043833BC"/>
    <w:rsid w:val="05243941"/>
    <w:rsid w:val="05FE23E4"/>
    <w:rsid w:val="07C75183"/>
    <w:rsid w:val="08F71A98"/>
    <w:rsid w:val="092D54BA"/>
    <w:rsid w:val="0A6F4382"/>
    <w:rsid w:val="0A801619"/>
    <w:rsid w:val="0B1861E2"/>
    <w:rsid w:val="0B352404"/>
    <w:rsid w:val="0C1069CD"/>
    <w:rsid w:val="0F6E2388"/>
    <w:rsid w:val="0F8910A9"/>
    <w:rsid w:val="111425F0"/>
    <w:rsid w:val="11CA419E"/>
    <w:rsid w:val="145D3689"/>
    <w:rsid w:val="155C2C83"/>
    <w:rsid w:val="15E4785B"/>
    <w:rsid w:val="163C6D3C"/>
    <w:rsid w:val="16B32D77"/>
    <w:rsid w:val="16E11692"/>
    <w:rsid w:val="16E66D61"/>
    <w:rsid w:val="19D90074"/>
    <w:rsid w:val="1A48143E"/>
    <w:rsid w:val="1A7B3BAB"/>
    <w:rsid w:val="1AB570BD"/>
    <w:rsid w:val="1C36219D"/>
    <w:rsid w:val="1DD2442A"/>
    <w:rsid w:val="1E94348E"/>
    <w:rsid w:val="1FA932E3"/>
    <w:rsid w:val="1FB92A8D"/>
    <w:rsid w:val="206F6FAC"/>
    <w:rsid w:val="2079293B"/>
    <w:rsid w:val="209459C7"/>
    <w:rsid w:val="21294361"/>
    <w:rsid w:val="21AD6D40"/>
    <w:rsid w:val="21CE6CB6"/>
    <w:rsid w:val="22BD7457"/>
    <w:rsid w:val="23AC53CD"/>
    <w:rsid w:val="243E6375"/>
    <w:rsid w:val="25900E53"/>
    <w:rsid w:val="272555CB"/>
    <w:rsid w:val="275B0FEC"/>
    <w:rsid w:val="27CC3C98"/>
    <w:rsid w:val="29C10D80"/>
    <w:rsid w:val="2AF73935"/>
    <w:rsid w:val="2B9E594C"/>
    <w:rsid w:val="2C574478"/>
    <w:rsid w:val="2D1432B3"/>
    <w:rsid w:val="2D6B3CB9"/>
    <w:rsid w:val="2DA1155B"/>
    <w:rsid w:val="2E0A551A"/>
    <w:rsid w:val="30BC2D8B"/>
    <w:rsid w:val="311A5FF2"/>
    <w:rsid w:val="31777D04"/>
    <w:rsid w:val="31C75BFC"/>
    <w:rsid w:val="320F6A40"/>
    <w:rsid w:val="32607E4C"/>
    <w:rsid w:val="33313908"/>
    <w:rsid w:val="336D632F"/>
    <w:rsid w:val="34080E52"/>
    <w:rsid w:val="36743E79"/>
    <w:rsid w:val="36986E6B"/>
    <w:rsid w:val="36B1347B"/>
    <w:rsid w:val="37385DE2"/>
    <w:rsid w:val="377F2724"/>
    <w:rsid w:val="378325C5"/>
    <w:rsid w:val="3831701C"/>
    <w:rsid w:val="383C7CBE"/>
    <w:rsid w:val="38F85BFF"/>
    <w:rsid w:val="39FC665F"/>
    <w:rsid w:val="3AA953A4"/>
    <w:rsid w:val="3B09041B"/>
    <w:rsid w:val="3C522566"/>
    <w:rsid w:val="3CF03B2D"/>
    <w:rsid w:val="3D532A3A"/>
    <w:rsid w:val="3D5F13DF"/>
    <w:rsid w:val="3D601A89"/>
    <w:rsid w:val="3DF37D79"/>
    <w:rsid w:val="3EB412B6"/>
    <w:rsid w:val="3F514D57"/>
    <w:rsid w:val="42115651"/>
    <w:rsid w:val="448422C5"/>
    <w:rsid w:val="44E977E0"/>
    <w:rsid w:val="46A20FAA"/>
    <w:rsid w:val="48022966"/>
    <w:rsid w:val="488717E9"/>
    <w:rsid w:val="48AE321A"/>
    <w:rsid w:val="48C52312"/>
    <w:rsid w:val="48EB7FCA"/>
    <w:rsid w:val="4A4756D4"/>
    <w:rsid w:val="4A4B1C48"/>
    <w:rsid w:val="4A53205B"/>
    <w:rsid w:val="4B180E1F"/>
    <w:rsid w:val="4C082C41"/>
    <w:rsid w:val="4C1C493F"/>
    <w:rsid w:val="4D2C6E03"/>
    <w:rsid w:val="4E8D61CF"/>
    <w:rsid w:val="4EAF439C"/>
    <w:rsid w:val="4F075432"/>
    <w:rsid w:val="4F6F4D85"/>
    <w:rsid w:val="4FED4628"/>
    <w:rsid w:val="50267B3A"/>
    <w:rsid w:val="506A1680"/>
    <w:rsid w:val="50AD6BE4"/>
    <w:rsid w:val="516A22CE"/>
    <w:rsid w:val="51E90E1F"/>
    <w:rsid w:val="53051C89"/>
    <w:rsid w:val="531445C2"/>
    <w:rsid w:val="53397B84"/>
    <w:rsid w:val="54817A35"/>
    <w:rsid w:val="55007ECC"/>
    <w:rsid w:val="55D01046"/>
    <w:rsid w:val="56876E58"/>
    <w:rsid w:val="56D66003"/>
    <w:rsid w:val="577556CB"/>
    <w:rsid w:val="587632DC"/>
    <w:rsid w:val="58885441"/>
    <w:rsid w:val="589A10C5"/>
    <w:rsid w:val="58E40592"/>
    <w:rsid w:val="58EF4070"/>
    <w:rsid w:val="596A4F3B"/>
    <w:rsid w:val="5B0A49B8"/>
    <w:rsid w:val="5B0D4D70"/>
    <w:rsid w:val="5B7756EE"/>
    <w:rsid w:val="5D7A7717"/>
    <w:rsid w:val="5D9933F8"/>
    <w:rsid w:val="5E624433"/>
    <w:rsid w:val="603F4D07"/>
    <w:rsid w:val="611F485D"/>
    <w:rsid w:val="613025C6"/>
    <w:rsid w:val="61AD3208"/>
    <w:rsid w:val="621C0D9D"/>
    <w:rsid w:val="627B5AC3"/>
    <w:rsid w:val="62BB2364"/>
    <w:rsid w:val="63612F0B"/>
    <w:rsid w:val="63AB4186"/>
    <w:rsid w:val="65226971"/>
    <w:rsid w:val="65B5753E"/>
    <w:rsid w:val="65E322FD"/>
    <w:rsid w:val="662F158E"/>
    <w:rsid w:val="675608AD"/>
    <w:rsid w:val="6803642F"/>
    <w:rsid w:val="69DA174D"/>
    <w:rsid w:val="69E71C90"/>
    <w:rsid w:val="69E91EAC"/>
    <w:rsid w:val="6ADD44FB"/>
    <w:rsid w:val="6B480E55"/>
    <w:rsid w:val="6CE10C19"/>
    <w:rsid w:val="6CE93F71"/>
    <w:rsid w:val="6D102A05"/>
    <w:rsid w:val="6D260D22"/>
    <w:rsid w:val="6DFE57FA"/>
    <w:rsid w:val="6E1D0F49"/>
    <w:rsid w:val="6EC72405"/>
    <w:rsid w:val="6ED27944"/>
    <w:rsid w:val="6F9208F0"/>
    <w:rsid w:val="70217FA0"/>
    <w:rsid w:val="712D50B1"/>
    <w:rsid w:val="71597917"/>
    <w:rsid w:val="71F6772B"/>
    <w:rsid w:val="726B39D4"/>
    <w:rsid w:val="729A7CBB"/>
    <w:rsid w:val="72A526E9"/>
    <w:rsid w:val="72DA0AC8"/>
    <w:rsid w:val="72DC58F8"/>
    <w:rsid w:val="73AF381F"/>
    <w:rsid w:val="740202D4"/>
    <w:rsid w:val="752A2293"/>
    <w:rsid w:val="77277E53"/>
    <w:rsid w:val="775C1F10"/>
    <w:rsid w:val="779A6594"/>
    <w:rsid w:val="77D777E8"/>
    <w:rsid w:val="79224A93"/>
    <w:rsid w:val="79A03FCF"/>
    <w:rsid w:val="7C413482"/>
    <w:rsid w:val="7C5E16DD"/>
    <w:rsid w:val="7C9C6FC2"/>
    <w:rsid w:val="7DC01256"/>
    <w:rsid w:val="7E84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numPr>
        <w:ilvl w:val="0"/>
        <w:numId w:val="1"/>
      </w:numPr>
      <w:spacing w:before="480" w:line="288" w:lineRule="auto"/>
      <w:ind w:left="1247" w:hanging="1247"/>
      <w:jc w:val="both"/>
      <w:outlineLvl w:val="0"/>
    </w:pPr>
    <w:rPr>
      <w:rFonts w:ascii="Arial" w:hAnsi="Arial" w:eastAsia="宋体" w:cstheme="minorBidi"/>
      <w:b/>
      <w:bCs/>
      <w:kern w:val="44"/>
      <w:sz w:val="36"/>
      <w:szCs w:val="4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4"/>
    <w:next w:val="1"/>
    <w:unhideWhenUsed/>
    <w:qFormat/>
    <w:uiPriority w:val="39"/>
    <w:pPr>
      <w:tabs>
        <w:tab w:val="left" w:pos="420"/>
        <w:tab w:val="left" w:pos="567"/>
        <w:tab w:val="left" w:pos="1134"/>
        <w:tab w:val="left" w:pos="1777"/>
        <w:tab w:val="right" w:leader="dot" w:pos="8789"/>
        <w:tab w:val="right" w:leader="dot" w:pos="9062"/>
      </w:tabs>
      <w:ind w:left="1701" w:right="34" w:hanging="567"/>
    </w:pPr>
  </w:style>
  <w:style w:type="paragraph" w:styleId="4">
    <w:name w:val="toc 2"/>
    <w:basedOn w:val="5"/>
    <w:next w:val="1"/>
    <w:unhideWhenUsed/>
    <w:qFormat/>
    <w:uiPriority w:val="39"/>
    <w:pPr>
      <w:tabs>
        <w:tab w:val="left" w:pos="420"/>
        <w:tab w:val="left" w:pos="567"/>
        <w:tab w:val="left" w:pos="1134"/>
        <w:tab w:val="right" w:leader="dot" w:pos="8789"/>
        <w:tab w:val="right" w:leader="dot" w:pos="9062"/>
      </w:tabs>
      <w:spacing w:before="120"/>
      <w:ind w:left="1276" w:right="907" w:hanging="709"/>
    </w:pPr>
    <w:rPr>
      <w:b w:val="0"/>
    </w:rPr>
  </w:style>
  <w:style w:type="paragraph" w:styleId="5">
    <w:name w:val="toc 1"/>
    <w:basedOn w:val="1"/>
    <w:next w:val="4"/>
    <w:unhideWhenUsed/>
    <w:qFormat/>
    <w:uiPriority w:val="39"/>
    <w:pPr>
      <w:keepNext/>
      <w:widowControl/>
      <w:tabs>
        <w:tab w:val="left" w:pos="420"/>
        <w:tab w:val="left" w:pos="567"/>
        <w:tab w:val="right" w:leader="dot" w:pos="8789"/>
        <w:tab w:val="right" w:leader="dot" w:pos="9062"/>
      </w:tabs>
      <w:spacing w:before="360"/>
      <w:ind w:left="567" w:right="34" w:hanging="425"/>
      <w:jc w:val="left"/>
    </w:pPr>
    <w:rPr>
      <w:b/>
      <w:kern w:val="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paragraph" w:customStyle="1" w:styleId="12">
    <w:name w:val="TOC Heading"/>
    <w:basedOn w:val="1"/>
    <w:unhideWhenUsed/>
    <w:qFormat/>
    <w:uiPriority w:val="39"/>
    <w:pPr>
      <w:keepNext/>
      <w:widowControl/>
      <w:spacing w:before="840" w:after="240"/>
      <w:jc w:val="left"/>
    </w:pPr>
    <w:rPr>
      <w:rFonts w:cstheme="majorBidi"/>
      <w:b/>
      <w:spacing w:val="10"/>
      <w:kern w:val="20"/>
      <w:sz w:val="40"/>
      <w:szCs w:val="28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1507</Words>
  <Characters>2023</Characters>
  <Lines>0</Lines>
  <Paragraphs>0</Paragraphs>
  <TotalTime>6</TotalTime>
  <ScaleCrop>false</ScaleCrop>
  <LinksUpToDate>false</LinksUpToDate>
  <CharactersWithSpaces>2084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2022-12-09T08:53:00Z</dcterms:created>
  <dc:creator>上海汉界通信工程有限公司</dc:creator>
  <cp:lastModifiedBy>无线对讲系统-徐工13918677771</cp:lastModifiedBy>
  <dcterms:modified xsi:type="dcterms:W3CDTF">2023-05-07T14:59:24Z</dcterms:modified>
  <dc:title>NXR-5700数字集群中继台产品规格书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A173627EB58C4F35ABE33FBE9DB0A2D3</vt:lpwstr>
  </property>
</Properties>
</file>