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162300" cy="717550"/>
            <wp:effectExtent l="0" t="0" r="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sdt>
      <w:sdtPr>
        <w:rPr>
          <w:b/>
          <w:sz w:val="64"/>
          <w:szCs w:val="64"/>
          <w:lang w:val="en-US"/>
        </w:rPr>
        <w:alias w:val="Document Title"/>
        <w:tag w:val="Cover_Document_Title"/>
        <w:id w:val="37766366"/>
        <w:lock w:val="sdtLocked"/>
      </w:sdtPr>
      <w:sdtEndPr>
        <w:rPr>
          <w:b/>
          <w:color w:val="0000FF"/>
          <w:sz w:val="56"/>
          <w:szCs w:val="56"/>
          <w:lang w:val="en-US"/>
        </w:rPr>
      </w:sdtEndPr>
      <w:sdtContent>
        <w:sdt>
          <w:sdtPr>
            <w:rPr>
              <w:rFonts w:hint="eastAsia"/>
              <w:b/>
              <w:sz w:val="64"/>
              <w:szCs w:val="64"/>
              <w:lang w:val="en-US"/>
            </w:rPr>
            <w:alias w:val="标题"/>
            <w:tag w:val="标题"/>
            <w:id w:val="382771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>
            <w:rPr>
              <w:rFonts w:hint="eastAsia"/>
              <w:b/>
              <w:color w:val="0000FF"/>
              <w:sz w:val="56"/>
              <w:szCs w:val="56"/>
              <w:lang w:val="en-US"/>
            </w:rPr>
          </w:sdtEndPr>
          <w:sdtContent>
            <w:p>
              <w:pPr>
                <w:rPr>
                  <w:b/>
                  <w:color w:val="0000FF"/>
                  <w:sz w:val="56"/>
                  <w:szCs w:val="56"/>
                  <w:lang w:val="en-US"/>
                </w:rPr>
              </w:pP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NXR-1800中继台产品规格书</w:t>
              </w:r>
            </w:p>
          </w:sdtContent>
        </w:sdt>
      </w:sdtContent>
    </w:sdt>
    <w:sdt>
      <w:sdtPr>
        <w:rPr>
          <w:rFonts w:hint="eastAsia"/>
          <w:b/>
          <w:sz w:val="40"/>
          <w:szCs w:val="40"/>
          <w:lang w:eastAsia="zh-CN"/>
        </w:rPr>
        <w:alias w:val="Project Name"/>
        <w:tag w:val="Cover_Project_Name"/>
        <w:id w:val="37766369"/>
        <w:lock w:val="sdtLocked"/>
      </w:sdtPr>
      <w:sdtEndPr>
        <w:rPr>
          <w:rFonts w:hint="eastAsia"/>
          <w:b/>
          <w:sz w:val="64"/>
          <w:szCs w:val="64"/>
          <w:lang w:eastAsia="zh-CN"/>
        </w:rPr>
      </w:sdtEndPr>
      <w:sdtContent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rPr>
              <w:rFonts w:hint="eastAsia"/>
              <w:b/>
              <w:sz w:val="64"/>
              <w:szCs w:val="64"/>
              <w:lang w:eastAsia="zh-CN"/>
            </w:rPr>
          </w:pPr>
          <w:r>
            <w:rPr>
              <w:rFonts w:hint="eastAsia"/>
              <w:b/>
              <w:sz w:val="40"/>
              <w:szCs w:val="40"/>
              <w:lang w:val="en-US" w:eastAsia="zh-CN"/>
            </w:rPr>
            <w:t>建伍</w:t>
          </w:r>
          <w:r>
            <w:rPr>
              <w:rFonts w:hint="eastAsia"/>
              <w:b/>
              <w:sz w:val="40"/>
              <w:szCs w:val="40"/>
              <w:lang w:eastAsia="zh-CN"/>
            </w:rPr>
            <w:t>终端产品线</w:t>
          </w:r>
        </w:p>
      </w:sdtContent>
    </w:sdt>
    <w:sdt>
      <w:sdtPr>
        <w:rPr>
          <w:b/>
          <w:sz w:val="40"/>
          <w:szCs w:val="40"/>
        </w:rPr>
        <w:alias w:val="标题"/>
        <w:id w:val="382772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b/>
          <w:sz w:val="40"/>
          <w:szCs w:val="40"/>
        </w:rPr>
      </w:sdtEndPr>
      <w:sdtContent>
        <w:p>
          <w:pPr>
            <w:rPr>
              <w:rFonts w:hint="eastAsia"/>
              <w:b/>
              <w:sz w:val="40"/>
              <w:szCs w:val="40"/>
            </w:rPr>
          </w:pPr>
          <w:r>
            <w:rPr>
              <w:rFonts w:hint="eastAsia"/>
              <w:b/>
              <w:sz w:val="40"/>
              <w:szCs w:val="40"/>
              <w:lang w:eastAsia="zh-CN"/>
            </w:rPr>
            <w:t>NXR-1800中继台产品规格书</w:t>
          </w:r>
        </w:p>
      </w:sdtContent>
    </w:sdt>
    <w:p>
      <w:pPr>
        <w:rPr>
          <w:rFonts w:hint="eastAsia"/>
          <w:b/>
          <w:sz w:val="40"/>
          <w:szCs w:val="40"/>
          <w:lang w:val="en-US" w:eastAsia="zh-CN"/>
        </w:rPr>
      </w:pPr>
    </w:p>
    <w:tbl>
      <w:tblPr>
        <w:tblStyle w:val="8"/>
        <w:tblW w:w="91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93"/>
        <w:gridCol w:w="1193"/>
        <w:gridCol w:w="1834"/>
        <w:gridCol w:w="3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版本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日期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作者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审核者</w:t>
            </w:r>
          </w:p>
        </w:tc>
        <w:tc>
          <w:tcPr>
            <w:tcW w:w="3865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V1.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3.2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kenwus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widowControl/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基线文档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rFonts w:hint="eastAsia" w:ascii="宋体" w:hAnsi="宋体" w:eastAsia="宋体" w:cs="宋体"/>
          <w:color w:val="auto"/>
          <w:sz w:val="18"/>
          <w:szCs w:val="18"/>
        </w:rPr>
      </w:pPr>
    </w:p>
    <w:p>
      <w:pPr>
        <w:rPr>
          <w:rFonts w:hint="eastAsia" w:ascii="宋体" w:hAnsi="宋体" w:eastAsia="宋体" w:cs="宋体"/>
          <w:color w:val="auto"/>
          <w:sz w:val="18"/>
          <w:szCs w:val="18"/>
        </w:rPr>
      </w:pPr>
      <w:r>
        <w:rPr>
          <w:rFonts w:hint="eastAsia" w:ascii="宋体" w:hAnsi="宋体" w:eastAsia="宋体" w:cs="宋体"/>
          <w:color w:val="auto"/>
          <w:sz w:val="18"/>
          <w:szCs w:val="18"/>
        </w:rPr>
        <w:t>版权所有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日本JVC建伍株式会社</w:t>
      </w:r>
      <w:r>
        <w:rPr>
          <w:rFonts w:hint="eastAsia" w:ascii="宋体" w:hAnsi="宋体" w:eastAsia="宋体" w:cs="宋体"/>
          <w:color w:val="auto"/>
          <w:sz w:val="18"/>
          <w:szCs w:val="18"/>
        </w:rPr>
        <w:t>保留所有权利</w:t>
      </w:r>
    </w:p>
    <w:p>
      <w:pPr>
        <w:rPr>
          <w:rFonts w:hint="eastAsia" w:ascii="宋体" w:hAnsi="宋体" w:eastAsia="宋体" w:cs="宋体"/>
          <w:color w:val="auto"/>
          <w:sz w:val="18"/>
          <w:szCs w:val="18"/>
        </w:rPr>
      </w:pPr>
      <w:r>
        <w:rPr>
          <w:rFonts w:hint="eastAsia" w:ascii="宋体" w:hAnsi="宋体" w:eastAsia="宋体" w:cs="宋体"/>
          <w:color w:val="auto"/>
          <w:sz w:val="18"/>
          <w:szCs w:val="18"/>
        </w:rPr>
        <w:t>版权声明：</w:t>
      </w:r>
    </w:p>
    <w:p>
      <w:pPr>
        <w:rPr>
          <w:rFonts w:hint="eastAsia" w:ascii="宋体" w:hAnsi="宋体" w:eastAsia="宋体" w:cs="宋体"/>
          <w:color w:val="auto"/>
          <w:sz w:val="18"/>
          <w:szCs w:val="18"/>
        </w:rPr>
      </w:pPr>
      <w:r>
        <w:rPr>
          <w:rFonts w:hint="eastAsia" w:ascii="宋体" w:hAnsi="宋体" w:eastAsia="宋体" w:cs="宋体"/>
          <w:color w:val="auto"/>
          <w:sz w:val="18"/>
          <w:szCs w:val="18"/>
        </w:rPr>
        <w:t>本文档著作权由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日本JVC建伍株式会</w:t>
      </w:r>
      <w:r>
        <w:rPr>
          <w:rFonts w:hint="eastAsia" w:ascii="宋体" w:hAnsi="宋体" w:eastAsia="宋体" w:cs="宋体"/>
          <w:color w:val="auto"/>
          <w:sz w:val="18"/>
          <w:szCs w:val="18"/>
        </w:rPr>
        <w:t>享有。</w:t>
      </w:r>
    </w:p>
    <w:p>
      <w:pPr>
        <w:rPr>
          <w:rFonts w:hint="eastAsia" w:ascii="宋体" w:hAnsi="宋体" w:eastAsia="宋体" w:cs="宋体"/>
          <w:color w:val="auto"/>
          <w:sz w:val="18"/>
          <w:szCs w:val="18"/>
        </w:rPr>
      </w:pPr>
      <w:r>
        <w:rPr>
          <w:rFonts w:hint="eastAsia" w:ascii="宋体" w:hAnsi="宋体" w:eastAsia="宋体" w:cs="宋体"/>
          <w:color w:val="auto"/>
          <w:sz w:val="18"/>
          <w:szCs w:val="18"/>
        </w:rPr>
        <w:t>本文档中的信息随着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KENWOOD建伍</w:t>
      </w:r>
      <w:r>
        <w:rPr>
          <w:rFonts w:hint="eastAsia" w:ascii="宋体" w:hAnsi="宋体" w:eastAsia="宋体" w:cs="宋体"/>
          <w:color w:val="auto"/>
          <w:sz w:val="18"/>
          <w:szCs w:val="18"/>
        </w:rPr>
        <w:t>产品和技术的进步将不断更新。由于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JVC KENWOOD集团</w:t>
      </w:r>
      <w:r>
        <w:rPr>
          <w:rFonts w:hint="eastAsia" w:ascii="宋体" w:hAnsi="宋体" w:eastAsia="宋体" w:cs="宋体"/>
          <w:color w:val="auto"/>
          <w:sz w:val="18"/>
          <w:szCs w:val="18"/>
        </w:rPr>
        <w:t>技术的不断发展，以上指标数据若有变更，以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KENWOOD</w:t>
      </w:r>
      <w:r>
        <w:rPr>
          <w:rFonts w:hint="eastAsia" w:ascii="宋体" w:hAnsi="宋体" w:eastAsia="宋体" w:cs="宋体"/>
          <w:color w:val="auto"/>
          <w:sz w:val="18"/>
          <w:szCs w:val="18"/>
        </w:rPr>
        <w:t>的新发布资料为准，恕不另行通知。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LTR®是Transcrypt International公司的注册的商标。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AMBE+2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™</w:t>
      </w:r>
      <w:r>
        <w:rPr>
          <w:rFonts w:hint="eastAsia" w:ascii="宋体" w:hAnsi="宋体" w:eastAsia="宋体" w:cs="宋体"/>
          <w:sz w:val="18"/>
          <w:szCs w:val="18"/>
        </w:rPr>
        <w:t>是Digital Voice Systems Inc.的注册商标。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NEXEDGE®是JVC建伍株式会社的注册商标。</w:t>
      </w:r>
    </w:p>
    <w:sdt>
      <w:sdtPr>
        <w:rPr>
          <w:rFonts w:asciiTheme="minorHAnsi" w:hAnsiTheme="minorHAnsi" w:eastAsiaTheme="minorEastAsia" w:cstheme="minorBidi"/>
          <w:b w:val="0"/>
          <w:spacing w:val="0"/>
          <w:kern w:val="2"/>
          <w:sz w:val="21"/>
          <w:szCs w:val="22"/>
        </w:rPr>
        <w:id w:val="877760"/>
      </w:sdtPr>
      <w:sdtEnd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sdtEndPr>
      <w:sdtContent>
        <w:p>
          <w:pPr>
            <w:pStyle w:val="12"/>
            <w:outlineLvl w:val="9"/>
          </w:pPr>
          <w:r>
            <w:t>目录</w:t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r>
            <w:fldChar w:fldCharType="begin"/>
          </w:r>
          <w:r>
            <w:instrText xml:space="preserve"> HYPERLINK \l _Toc26484 </w:instrText>
          </w:r>
          <w:r>
            <w:fldChar w:fldCharType="separate"/>
          </w:r>
          <w:r>
            <w:t xml:space="preserve">1 </w:t>
          </w:r>
          <w:r>
            <w:rPr>
              <w:rFonts w:hint="eastAsia"/>
              <w:lang w:eastAsia="zh-CN"/>
            </w:rPr>
            <w:t>产品外观</w:t>
          </w:r>
          <w:r>
            <w:tab/>
          </w:r>
          <w:r>
            <w:fldChar w:fldCharType="begin"/>
          </w:r>
          <w:r>
            <w:instrText xml:space="preserve"> PAGEREF _Toc26484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_Toc14348 </w:instrText>
          </w:r>
          <w:r>
            <w:fldChar w:fldCharType="separate"/>
          </w:r>
          <w:r>
            <w:rPr>
              <w:rFonts w:hint="eastAsia"/>
              <w:lang w:eastAsia="zh-CN"/>
            </w:rPr>
            <w:t>2 产品特点</w:t>
          </w:r>
          <w:r>
            <w:tab/>
          </w:r>
          <w:r>
            <w:fldChar w:fldCharType="begin"/>
          </w:r>
          <w:r>
            <w:instrText xml:space="preserve"> PAGEREF _Toc14348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  <w:rPr>
              <w:rFonts w:hint="eastAsia" w:eastAsiaTheme="minorEastAsia"/>
              <w:lang w:val="en-US" w:eastAsia="zh-CN"/>
            </w:rPr>
          </w:pPr>
          <w:r>
            <w:fldChar w:fldCharType="begin"/>
          </w:r>
          <w:r>
            <w:instrText xml:space="preserve"> HYPERLINK \l _Toc9930 </w:instrText>
          </w:r>
          <w:r>
            <w:fldChar w:fldCharType="separate"/>
          </w:r>
          <w:r>
            <w:rPr>
              <w:rFonts w:hint="eastAsia"/>
              <w:lang w:eastAsia="zh-CN"/>
            </w:rPr>
            <w:t>3 产品</w:t>
          </w:r>
          <w:r>
            <w:rPr>
              <w:rFonts w:hint="eastAsia"/>
              <w:lang w:val="en-US" w:eastAsia="zh-CN"/>
            </w:rPr>
            <w:t>标准技术规格</w:t>
          </w:r>
          <w:r>
            <w:tab/>
          </w:r>
          <w:r>
            <w:fldChar w:fldCharType="end"/>
          </w:r>
          <w:r>
            <w:rPr>
              <w:rFonts w:hint="eastAsia"/>
              <w:lang w:val="en-US" w:eastAsia="zh-CN"/>
            </w:rPr>
            <w:t>7</w:t>
          </w:r>
        </w:p>
        <w:p>
          <w:pPr>
            <w:rPr>
              <w:rFonts w:ascii="Arial" w:hAnsi="Arial" w:eastAsia="宋体" w:cstheme="minorBidi"/>
              <w:b w:val="0"/>
              <w:spacing w:val="0"/>
              <w:kern w:val="0"/>
              <w:sz w:val="21"/>
              <w:szCs w:val="22"/>
            </w:rPr>
          </w:pPr>
          <w:r>
            <w:fldChar w:fldCharType="end"/>
          </w:r>
        </w:p>
      </w:sdtContent>
    </w:sdt>
    <w:p>
      <w:p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0" w:name="_Toc26484"/>
      <w:r>
        <w:rPr>
          <w:rFonts w:hint="eastAsia"/>
          <w:lang w:eastAsia="zh-CN"/>
        </w:rPr>
        <w:t>产品外观</w:t>
      </w:r>
      <w:bookmarkEnd w:id="0"/>
    </w:p>
    <w:p/>
    <w:p>
      <w:r>
        <w:rPr>
          <w:rFonts w:hint="eastAsia"/>
          <w:lang w:val="en-US" w:eastAsia="zh-CN"/>
        </w:rPr>
        <w:t xml:space="preserve">                         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2979420"/>
            <wp:effectExtent l="0" t="0" r="0" b="5080"/>
            <wp:docPr id="2" name="图片 2" descr="第1页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第1页-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3515" cy="1617980"/>
            <wp:effectExtent l="0" t="0" r="6985" b="7620"/>
            <wp:docPr id="8" name="图片 8" descr="NXR1K_FRT_LCD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NXR1K_FRT_LCD-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61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/>
    <w:p/>
    <w:p/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1" w:name="_Toc14348"/>
      <w:r>
        <w:rPr>
          <w:rFonts w:hint="eastAsia"/>
          <w:lang w:eastAsia="zh-CN"/>
        </w:rPr>
        <w:t>产品特点</w:t>
      </w:r>
      <w:bookmarkEnd w:id="1"/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一般特征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1–50W输出功率可调（50W@50%, 25 W@100%占空比）；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轻巧、紧凑、19英寸1U机架中可安装2个中继器；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1.71英寸超大OLED，具有图标和数字显示；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自动热量控制冷却风扇；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外置式电源；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信道数：32个；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数字协议：支持DMR / NXDN双协议；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前置USB接口；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后置DB25外部开发接口；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支持模拟和数字多种模式；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支持系统冗余热备配置；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内置IP网络适配器；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支持多播路由架构；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SIP电话功能；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支持IP远程管理（监控/控制/编程/测试控制台）；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支持IP控制台、OTAP等功能；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增强的安全性（HTTPS）；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发射计时器；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支持多站点IP互联，多达16个站点（数字和模拟）；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投票中继器+多达15个分级接收器；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IP网络与NXR-710/810和TKR-D710/D810系列兼容中继器（能够作为现场现有数字传统系统的一部分进行交换/添加）；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数字–通用</w:t>
      </w:r>
      <w:bookmarkStart w:id="3" w:name="_GoBack"/>
      <w:bookmarkEnd w:id="3"/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内置AMBE+2™ 声码器；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模拟/数字混合操作；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使用信标进行站点漫游；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支持无线链路：NXDN / DMR；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多重加密语音/数据（AES/DES/DMR增强加密）；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用户列表/站点组表；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无线电接入许可限制；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数字–NXDN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FDMA–6.25 kHz和12.5 kHz；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  <w:lang w:val="en-US" w:eastAsia="zh-CN"/>
        </w:rPr>
        <w:t>NXDN数字常规；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default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数字–DMR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TDMA双时隙12.5 kHz带宽；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DMR II级数字常规；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支持通话中断；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模拟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FM常规模式；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支持多个QT/DQT编解码设置；</w:t>
      </w: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default" w:ascii="Arial" w:hAnsi="Arial" w:eastAsia="宋体"/>
          <w:szCs w:val="22"/>
          <w:lang w:val="en-US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  <w:lang w:eastAsia="zh-CN"/>
        </w:rPr>
      </w:pPr>
      <w:r>
        <w:rPr>
          <w:rFonts w:hint="eastAsia" w:ascii="Arial" w:hAnsi="Arial" w:eastAsia="宋体"/>
          <w:szCs w:val="22"/>
          <w:lang w:eastAsia="zh-CN"/>
        </w:rPr>
        <w:drawing>
          <wp:inline distT="0" distB="0" distL="114300" distR="114300">
            <wp:extent cx="3860800" cy="1244600"/>
            <wp:effectExtent l="0" t="0" r="0" b="0"/>
            <wp:docPr id="5" name="图片 5" descr="第2页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第2页-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Arial" w:hAnsi="Arial" w:eastAsia="宋体" w:cstheme="minorBidi"/>
          <w:b/>
          <w:kern w:val="2"/>
          <w:sz w:val="21"/>
          <w:szCs w:val="22"/>
          <w:lang w:val="en-US" w:eastAsia="zh-CN" w:bidi="ar-SA"/>
        </w:rPr>
      </w:pPr>
      <w:r>
        <w:rPr>
          <w:rFonts w:hint="default" w:ascii="Arial" w:hAnsi="Arial" w:eastAsia="宋体" w:cstheme="minorBidi"/>
          <w:b/>
          <w:kern w:val="2"/>
          <w:sz w:val="21"/>
          <w:szCs w:val="22"/>
          <w:lang w:val="en-US" w:eastAsia="zh-CN" w:bidi="ar-SA"/>
        </w:rPr>
        <w:t>信息型前OLED显示器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 w:cstheme="minorBidi"/>
          <w:kern w:val="2"/>
          <w:sz w:val="21"/>
          <w:szCs w:val="22"/>
          <w:lang w:val="en-US" w:eastAsia="zh-CN" w:bidi="ar-SA"/>
        </w:rPr>
      </w:pPr>
      <w:r>
        <w:rPr>
          <w:rFonts w:hint="default" w:ascii="Arial" w:hAnsi="Arial" w:eastAsia="宋体" w:cstheme="minorBidi"/>
          <w:kern w:val="2"/>
          <w:sz w:val="21"/>
          <w:szCs w:val="22"/>
          <w:lang w:val="en-US" w:eastAsia="zh-CN" w:bidi="ar-SA"/>
        </w:rPr>
        <w:t>前面板上的大型OLED显示器能够显示以下信息：MAC/IP地址、RSSI/TX电源设置图标、频道号/名称、射频频率以及固件/ESN/许可证/错误信息和其他状态。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  <w:lang w:eastAsia="zh-CN"/>
        </w:rPr>
      </w:pPr>
      <w:r>
        <w:rPr>
          <w:rFonts w:hint="eastAsia" w:ascii="Arial" w:hAnsi="Arial" w:eastAsia="宋体"/>
          <w:szCs w:val="22"/>
          <w:lang w:eastAsia="zh-CN"/>
        </w:rPr>
        <w:drawing>
          <wp:inline distT="0" distB="0" distL="114300" distR="114300">
            <wp:extent cx="4413250" cy="1587500"/>
            <wp:effectExtent l="0" t="0" r="6350" b="0"/>
            <wp:docPr id="6" name="图片 6" descr="第2页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第2页-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1325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Arial" w:hAnsi="Arial" w:eastAsia="宋体" w:cstheme="minorBidi"/>
          <w:b/>
          <w:kern w:val="2"/>
          <w:sz w:val="21"/>
          <w:szCs w:val="22"/>
          <w:lang w:val="en-US" w:eastAsia="zh-CN" w:bidi="ar-SA"/>
        </w:rPr>
      </w:pPr>
      <w:r>
        <w:rPr>
          <w:rFonts w:hint="default" w:ascii="Arial" w:hAnsi="Arial" w:eastAsia="宋体" w:cstheme="minorBidi"/>
          <w:b/>
          <w:kern w:val="2"/>
          <w:sz w:val="21"/>
          <w:szCs w:val="22"/>
          <w:lang w:val="en-US" w:eastAsia="zh-CN" w:bidi="ar-SA"/>
        </w:rPr>
        <w:t>与传统中继器的尺寸比较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 w:cstheme="minorBidi"/>
          <w:kern w:val="2"/>
          <w:sz w:val="21"/>
          <w:szCs w:val="22"/>
          <w:lang w:val="en-US" w:eastAsia="zh-CN" w:bidi="ar-SA"/>
        </w:rPr>
      </w:pPr>
      <w:r>
        <w:rPr>
          <w:rFonts w:hint="default" w:ascii="Arial" w:hAnsi="Arial" w:eastAsia="宋体" w:cstheme="minorBidi"/>
          <w:kern w:val="2"/>
          <w:sz w:val="21"/>
          <w:szCs w:val="22"/>
          <w:lang w:val="en-US" w:eastAsia="zh-CN" w:bidi="ar-SA"/>
        </w:rPr>
        <w:t>即使与NXR-710和TKR-D710中继器相比，容量也可以减少。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  <w:lang w:eastAsia="zh-CN"/>
        </w:rPr>
      </w:pPr>
      <w:r>
        <w:rPr>
          <w:rFonts w:hint="eastAsia" w:ascii="Arial" w:hAnsi="Arial" w:eastAsia="宋体"/>
          <w:szCs w:val="22"/>
          <w:lang w:eastAsia="zh-CN"/>
        </w:rPr>
        <w:drawing>
          <wp:inline distT="0" distB="0" distL="114300" distR="114300">
            <wp:extent cx="4413250" cy="1200150"/>
            <wp:effectExtent l="0" t="0" r="6350" b="6350"/>
            <wp:docPr id="7" name="图片 7" descr="第2页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第2页-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132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left"/>
        <w:rPr>
          <w:rFonts w:hint="default" w:ascii="Arial" w:hAnsi="Arial" w:eastAsia="宋体" w:cstheme="minorBidi"/>
          <w:kern w:val="2"/>
          <w:sz w:val="21"/>
          <w:szCs w:val="22"/>
          <w:lang w:val="en-US" w:eastAsia="zh-CN" w:bidi="ar-SA"/>
        </w:rPr>
      </w:pPr>
      <w:r>
        <w:rPr>
          <w:rFonts w:hint="default" w:ascii="Arial" w:hAnsi="Arial" w:eastAsia="宋体" w:cstheme="minorBidi"/>
          <w:kern w:val="2"/>
          <w:sz w:val="21"/>
          <w:szCs w:val="22"/>
          <w:lang w:val="en-US" w:eastAsia="zh-CN" w:bidi="ar-SA"/>
        </w:rPr>
        <w:t>与NXR-</w:t>
      </w:r>
      <w:r>
        <w:rPr>
          <w:rFonts w:hint="eastAsia" w:ascii="Arial" w:hAnsi="Arial" w:eastAsia="宋体" w:cstheme="minorBidi"/>
          <w:kern w:val="2"/>
          <w:sz w:val="21"/>
          <w:szCs w:val="22"/>
          <w:lang w:val="en-US" w:eastAsia="zh-CN" w:bidi="ar-SA"/>
        </w:rPr>
        <w:t>5700/5800</w:t>
      </w:r>
      <w:r>
        <w:rPr>
          <w:rFonts w:hint="default" w:ascii="Arial" w:hAnsi="Arial" w:eastAsia="宋体" w:cstheme="minorBidi"/>
          <w:kern w:val="2"/>
          <w:sz w:val="21"/>
          <w:szCs w:val="22"/>
          <w:lang w:val="en-US" w:eastAsia="zh-CN" w:bidi="ar-SA"/>
        </w:rPr>
        <w:t>系列型号相比，NXR-1000系列转发器只需要</w:t>
      </w:r>
      <w:r>
        <w:rPr>
          <w:rFonts w:hint="eastAsia" w:ascii="Arial" w:hAnsi="Arial" w:eastAsia="宋体" w:cstheme="minorBidi"/>
          <w:kern w:val="2"/>
          <w:sz w:val="21"/>
          <w:szCs w:val="22"/>
          <w:lang w:val="en-US" w:eastAsia="zh-CN" w:bidi="ar-SA"/>
        </w:rPr>
        <w:t>二</w:t>
      </w:r>
      <w:r>
        <w:rPr>
          <w:rFonts w:hint="default" w:ascii="Arial" w:hAnsi="Arial" w:eastAsia="宋体" w:cstheme="minorBidi"/>
          <w:kern w:val="2"/>
          <w:sz w:val="21"/>
          <w:szCs w:val="22"/>
          <w:lang w:val="en-US" w:eastAsia="zh-CN" w:bidi="ar-SA"/>
        </w:rPr>
        <w:t>分之一的机架空间。</w:t>
      </w:r>
    </w:p>
    <w:p>
      <w:pPr>
        <w:widowControl w:val="0"/>
        <w:numPr>
          <w:ilvl w:val="0"/>
          <w:numId w:val="0"/>
        </w:numPr>
        <w:jc w:val="left"/>
        <w:rPr>
          <w:rFonts w:hint="default" w:ascii="Arial" w:hAnsi="Arial" w:eastAsia="宋体" w:cstheme="minorBidi"/>
          <w:kern w:val="2"/>
          <w:sz w:val="21"/>
          <w:szCs w:val="22"/>
          <w:lang w:val="en-US" w:eastAsia="zh-CN" w:bidi="ar-SA"/>
        </w:rPr>
      </w:pPr>
      <w:r>
        <w:rPr>
          <w:rFonts w:hint="default" w:ascii="Arial" w:hAnsi="Arial" w:eastAsia="宋体" w:cstheme="minorBidi"/>
          <w:kern w:val="2"/>
          <w:sz w:val="21"/>
          <w:szCs w:val="22"/>
          <w:lang w:val="en-US" w:eastAsia="zh-CN" w:bidi="ar-SA"/>
        </w:rPr>
        <w:t>此外，NXR-1000系列转发器仅占用19英寸宽的其他1U转发器的一半机架空间。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pStyle w:val="2"/>
        <w:rPr>
          <w:rFonts w:hint="eastAsia"/>
          <w:lang w:eastAsia="zh-CN"/>
        </w:rPr>
      </w:pPr>
      <w:bookmarkStart w:id="2" w:name="_Toc9930"/>
      <w:r>
        <w:rPr>
          <w:rFonts w:hint="eastAsia"/>
          <w:lang w:val="en-US" w:eastAsia="zh-CN"/>
        </w:rPr>
        <w:t>产品标准技术</w:t>
      </w:r>
      <w:r>
        <w:rPr>
          <w:rFonts w:hint="eastAsia"/>
          <w:lang w:eastAsia="zh-CN"/>
        </w:rPr>
        <w:t>规格</w:t>
      </w:r>
      <w:bookmarkEnd w:id="2"/>
    </w:p>
    <w:tbl>
      <w:tblPr>
        <w:tblStyle w:val="8"/>
        <w:tblW w:w="86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2225"/>
        <w:gridCol w:w="50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一般规格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频率范围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400-470MHz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信道数量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信道间隔 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6.25kHz/12.5kHz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频率稳定度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±0.5ppm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工作电源电压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10.8V-15.6V DC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电流消耗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守候时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发射时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 A（高功率），9.0 A（25 W）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工作温度范围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- 30～+60℃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天线阻抗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外形尺寸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242.9 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重量（净重）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1.9kg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36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接收灵敏度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 5%误码率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 1%误码率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 3%误码率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12.5kHz/6.25kHz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0.25/0.20μV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模拟12dBSINAD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邻道选择性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模拟25kHz/12.5kHz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83dB/77dB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互调 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杂散响应 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发射功率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1-50W（50%负载时为50 W，100%负载时为25 W）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杂散发射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-80 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调频噪声 (模拟)  25kHz/12.5kHz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55/ 50dB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数字协议（DMR）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 TS 102 361-1, -2, 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电波类型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16K0F3E, 11K0F3E, 7K60FXD, 7K60F7D,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7K60FXE, 7K60F7E, 7K60FXW, 7K60F7W,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8K30F1E, 8K30F1D, 8K30F7W, 4K00F1E,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4K00F1D, 4K00F7W, 4K00F2D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依据EN标准或TIA/EIA-603获得的模拟测量值和所示规格均为典型值。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由于技术不断地发展，以上数据有可能变更，恕不预先通知。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280"/>
      </w:tabs>
      <w:spacing w:line="180" w:lineRule="exact"/>
      <w:ind w:right="360"/>
      <w:rPr>
        <w:rFonts w:hint="eastAsia" w:ascii="楷体_GB2312" w:eastAsia="楷体_GB2312"/>
      </w:rPr>
    </w:pPr>
    <w:r>
      <w:rPr>
        <w:rStyle w:val="11"/>
        <w:rFonts w:hint="eastAsia" w:ascii="楷体_GB2312" w:eastAsia="楷体_GB2312"/>
      </w:rPr>
      <w:t>版权所有</w:t>
    </w:r>
    <w:r>
      <w:rPr>
        <w:rStyle w:val="11"/>
        <w:rFonts w:hint="eastAsia" w:eastAsia="楷体_GB2312"/>
      </w:rPr>
      <w:t>©</w:t>
    </w:r>
    <w:r>
      <w:rPr>
        <w:rStyle w:val="11"/>
        <w:rFonts w:hint="eastAsia" w:ascii="楷体_GB2312" w:eastAsia="楷体_GB2312"/>
      </w:rPr>
      <w:t xml:space="preserve"> </w:t>
    </w:r>
    <w:r>
      <w:rPr>
        <w:rFonts w:hint="eastAsia" w:ascii="楷体_GB2312" w:eastAsia="楷体_GB2312"/>
      </w:rPr>
      <w:fldChar w:fldCharType="begin"/>
    </w:r>
    <w:r>
      <w:rPr>
        <w:rStyle w:val="11"/>
        <w:rFonts w:hint="eastAsia" w:ascii="楷体_GB2312" w:eastAsia="楷体_GB2312"/>
      </w:rPr>
      <w:instrText xml:space="preserve"> DATE \@ "yyyy" </w:instrText>
    </w:r>
    <w:r>
      <w:rPr>
        <w:rFonts w:hint="eastAsia" w:ascii="楷体_GB2312" w:eastAsia="楷体_GB2312"/>
      </w:rPr>
      <w:fldChar w:fldCharType="separate"/>
    </w:r>
    <w:r>
      <w:rPr>
        <w:rStyle w:val="11"/>
        <w:rFonts w:hint="eastAsia" w:ascii="楷体_GB2312" w:eastAsia="楷体_GB2312"/>
      </w:rPr>
      <w:t>2023</w:t>
    </w:r>
    <w:r>
      <w:rPr>
        <w:rFonts w:hint="eastAsia" w:ascii="楷体_GB2312" w:eastAsia="楷体_GB2312"/>
      </w:rPr>
      <w:fldChar w:fldCharType="end"/>
    </w:r>
    <w:r>
      <w:rPr>
        <w:rStyle w:val="11"/>
        <w:rFonts w:hint="eastAsia" w:ascii="楷体_GB2312" w:eastAsia="楷体_GB2312"/>
      </w:rPr>
      <w:t xml:space="preserve"> www.kenwood.com</w:t>
    </w:r>
    <w:r>
      <w:rPr>
        <w:rFonts w:hint="eastAsia" w:ascii="楷体_GB2312" w:eastAsia="楷体_GB2312"/>
      </w:rPr>
      <w:t xml:space="preserve">                                                                             </w:t>
    </w:r>
  </w:p>
  <w:p>
    <w:pPr>
      <w:pStyle w:val="6"/>
      <w:spacing w:line="180" w:lineRule="exact"/>
    </w:pPr>
    <w:r>
      <w:rPr>
        <w:rStyle w:val="11"/>
        <w:rFonts w:hint="eastAsia" w:ascii="楷体_GB2312" w:eastAsia="楷体_GB2312"/>
      </w:rPr>
      <w:t>内部保密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right"/>
    </w:pPr>
    <w:r>
      <w:rPr>
        <w:u w:val="none"/>
      </w:rPr>
      <w:drawing>
        <wp:inline distT="0" distB="0" distL="114300" distR="114300">
          <wp:extent cx="1390015" cy="315595"/>
          <wp:effectExtent l="0" t="0" r="6985" b="190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C37D45"/>
    <w:multiLevelType w:val="multilevel"/>
    <w:tmpl w:val="3CC37D45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4421996"/>
    <w:multiLevelType w:val="multilevel"/>
    <w:tmpl w:val="64421996"/>
    <w:lvl w:ilvl="0" w:tentative="0">
      <w:start w:val="1"/>
      <w:numFmt w:val="decimal"/>
      <w:pStyle w:val="2"/>
      <w:lvlText w:val="%1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  <w:rPr>
        <w:rFonts w:hint="default" w:ascii="Arial" w:hAnsi="Arial" w:cs="Arial"/>
      </w:rPr>
    </w:lvl>
    <w:lvl w:ilvl="3" w:tentative="0">
      <w:start w:val="1"/>
      <w:numFmt w:val="decimal"/>
      <w:lvlText w:val="%1.%2.%3.%4"/>
      <w:lvlJc w:val="left"/>
    </w:lvl>
    <w:lvl w:ilvl="4" w:tentative="0">
      <w:start w:val="1"/>
      <w:numFmt w:val="decimal"/>
      <w:lvlText w:val="%1.%2.%3.%4.%5"/>
      <w:lvlJc w:val="left"/>
    </w:lvl>
    <w:lvl w:ilvl="5" w:tentative="0">
      <w:start w:val="1"/>
      <w:numFmt w:val="decimal"/>
      <w:lvlText w:val="%1.%2.%3.%4.%5.%6"/>
      <w:lvlJc w:val="left"/>
    </w:lvl>
    <w:lvl w:ilvl="6" w:tentative="0">
      <w:start w:val="1"/>
      <w:numFmt w:val="decimal"/>
      <w:lvlText w:val="%1.%2.%3.%4.%5.%6.%7"/>
      <w:lvlJc w:val="left"/>
    </w:lvl>
    <w:lvl w:ilvl="7" w:tentative="0">
      <w:start w:val="1"/>
      <w:numFmt w:val="decimal"/>
      <w:lvlText w:val="%1.%2.%3.%4.%5.%6.%7.%8"/>
      <w:lvlJc w:val="left"/>
    </w:lvl>
    <w:lvl w:ilvl="8" w:tentative="0">
      <w:start w:val="1"/>
      <w:numFmt w:val="decimal"/>
      <w:lvlText w:val="%1.%2.%3.%4.%5.%6.%7.%8.%9"/>
      <w:lvlJc w:val="left"/>
    </w:lvl>
  </w:abstractNum>
  <w:abstractNum w:abstractNumId="2">
    <w:nsid w:val="7580A2F1"/>
    <w:multiLevelType w:val="multilevel"/>
    <w:tmpl w:val="7580A2F1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NTJiZmZlN2QxMTJmYTM2ZTkwMWU2NTFiOTUzY2YifQ=="/>
  </w:docVars>
  <w:rsids>
    <w:rsidRoot w:val="00000000"/>
    <w:rsid w:val="00DE2DDD"/>
    <w:rsid w:val="017512B4"/>
    <w:rsid w:val="043833BC"/>
    <w:rsid w:val="05243941"/>
    <w:rsid w:val="05FE23E4"/>
    <w:rsid w:val="07C75183"/>
    <w:rsid w:val="08F71A98"/>
    <w:rsid w:val="092D54BA"/>
    <w:rsid w:val="0A6F4382"/>
    <w:rsid w:val="0A801619"/>
    <w:rsid w:val="0B1861E2"/>
    <w:rsid w:val="0B352404"/>
    <w:rsid w:val="0C1069CD"/>
    <w:rsid w:val="0F8910A9"/>
    <w:rsid w:val="111425F0"/>
    <w:rsid w:val="11CA419E"/>
    <w:rsid w:val="145D3689"/>
    <w:rsid w:val="155C2C83"/>
    <w:rsid w:val="15E4785B"/>
    <w:rsid w:val="163C6D3C"/>
    <w:rsid w:val="16B32D77"/>
    <w:rsid w:val="16E11692"/>
    <w:rsid w:val="16E66D61"/>
    <w:rsid w:val="1A48143E"/>
    <w:rsid w:val="1A7B3BAB"/>
    <w:rsid w:val="1AB570BD"/>
    <w:rsid w:val="1C36219D"/>
    <w:rsid w:val="1DD2442A"/>
    <w:rsid w:val="1E94348E"/>
    <w:rsid w:val="1FA932E3"/>
    <w:rsid w:val="1FB92A8D"/>
    <w:rsid w:val="2079293B"/>
    <w:rsid w:val="209459C7"/>
    <w:rsid w:val="21294361"/>
    <w:rsid w:val="21AD6D40"/>
    <w:rsid w:val="21CE6CB6"/>
    <w:rsid w:val="22BD7457"/>
    <w:rsid w:val="23AC53CD"/>
    <w:rsid w:val="243E6375"/>
    <w:rsid w:val="25900E53"/>
    <w:rsid w:val="272555CB"/>
    <w:rsid w:val="275B0FEC"/>
    <w:rsid w:val="27CC3C98"/>
    <w:rsid w:val="29C10D80"/>
    <w:rsid w:val="2AF73935"/>
    <w:rsid w:val="2B9E594C"/>
    <w:rsid w:val="2C574478"/>
    <w:rsid w:val="2E0A551A"/>
    <w:rsid w:val="30BC2D8B"/>
    <w:rsid w:val="311A5FF2"/>
    <w:rsid w:val="31777D04"/>
    <w:rsid w:val="31C75BFC"/>
    <w:rsid w:val="320F6A40"/>
    <w:rsid w:val="32607E4C"/>
    <w:rsid w:val="33313908"/>
    <w:rsid w:val="336D632F"/>
    <w:rsid w:val="34080E52"/>
    <w:rsid w:val="36743E79"/>
    <w:rsid w:val="36986E6B"/>
    <w:rsid w:val="36B1347B"/>
    <w:rsid w:val="37385DE2"/>
    <w:rsid w:val="377F2724"/>
    <w:rsid w:val="378325C5"/>
    <w:rsid w:val="3831701C"/>
    <w:rsid w:val="383C7CBE"/>
    <w:rsid w:val="39FC665F"/>
    <w:rsid w:val="3AA953A4"/>
    <w:rsid w:val="3B09041B"/>
    <w:rsid w:val="3C522566"/>
    <w:rsid w:val="3CF03B2D"/>
    <w:rsid w:val="3D532A3A"/>
    <w:rsid w:val="3D5F13DF"/>
    <w:rsid w:val="3D601A89"/>
    <w:rsid w:val="3DF37D79"/>
    <w:rsid w:val="3EB412B6"/>
    <w:rsid w:val="3F514D57"/>
    <w:rsid w:val="42115651"/>
    <w:rsid w:val="448422C5"/>
    <w:rsid w:val="44E977E0"/>
    <w:rsid w:val="48022966"/>
    <w:rsid w:val="488717E9"/>
    <w:rsid w:val="48C52312"/>
    <w:rsid w:val="48EB7FCA"/>
    <w:rsid w:val="4A4756D4"/>
    <w:rsid w:val="4A4B1C48"/>
    <w:rsid w:val="4A53205B"/>
    <w:rsid w:val="4B180E1F"/>
    <w:rsid w:val="4C082C41"/>
    <w:rsid w:val="4C1C493F"/>
    <w:rsid w:val="4D2C6E03"/>
    <w:rsid w:val="4E8D61CF"/>
    <w:rsid w:val="4EAF439C"/>
    <w:rsid w:val="4F075432"/>
    <w:rsid w:val="4F6F4D85"/>
    <w:rsid w:val="4FED4628"/>
    <w:rsid w:val="50267B3A"/>
    <w:rsid w:val="506A1680"/>
    <w:rsid w:val="50AD6BE4"/>
    <w:rsid w:val="516A22CE"/>
    <w:rsid w:val="51E90E1F"/>
    <w:rsid w:val="53051C89"/>
    <w:rsid w:val="531445C2"/>
    <w:rsid w:val="53397B84"/>
    <w:rsid w:val="54817A35"/>
    <w:rsid w:val="55007ECC"/>
    <w:rsid w:val="55D01046"/>
    <w:rsid w:val="56876E58"/>
    <w:rsid w:val="56D66003"/>
    <w:rsid w:val="577556CB"/>
    <w:rsid w:val="587632DC"/>
    <w:rsid w:val="58885441"/>
    <w:rsid w:val="589A10C5"/>
    <w:rsid w:val="58E40592"/>
    <w:rsid w:val="58EF4070"/>
    <w:rsid w:val="596A4F3B"/>
    <w:rsid w:val="5B0A49B8"/>
    <w:rsid w:val="5B0D4D70"/>
    <w:rsid w:val="5B7756EE"/>
    <w:rsid w:val="5D7A7717"/>
    <w:rsid w:val="5D9933F8"/>
    <w:rsid w:val="5E624433"/>
    <w:rsid w:val="603F4D07"/>
    <w:rsid w:val="611F485D"/>
    <w:rsid w:val="613025C6"/>
    <w:rsid w:val="61AD3208"/>
    <w:rsid w:val="621C0D9D"/>
    <w:rsid w:val="627B5AC3"/>
    <w:rsid w:val="62BB2364"/>
    <w:rsid w:val="63612F0B"/>
    <w:rsid w:val="63AB4186"/>
    <w:rsid w:val="65226971"/>
    <w:rsid w:val="65B5753E"/>
    <w:rsid w:val="65E322FD"/>
    <w:rsid w:val="675608AD"/>
    <w:rsid w:val="6803642F"/>
    <w:rsid w:val="69DA174D"/>
    <w:rsid w:val="69E71C90"/>
    <w:rsid w:val="69E91EAC"/>
    <w:rsid w:val="6ADD44FB"/>
    <w:rsid w:val="6B480E55"/>
    <w:rsid w:val="6CE10C19"/>
    <w:rsid w:val="6D102A05"/>
    <w:rsid w:val="6D260D22"/>
    <w:rsid w:val="6DFE57FA"/>
    <w:rsid w:val="6E1D0F49"/>
    <w:rsid w:val="6EC72405"/>
    <w:rsid w:val="6ED27944"/>
    <w:rsid w:val="6F9208F0"/>
    <w:rsid w:val="70217FA0"/>
    <w:rsid w:val="712D50B1"/>
    <w:rsid w:val="71597917"/>
    <w:rsid w:val="71F6772B"/>
    <w:rsid w:val="726B39D4"/>
    <w:rsid w:val="729A7CBB"/>
    <w:rsid w:val="72A526E9"/>
    <w:rsid w:val="72DA0AC8"/>
    <w:rsid w:val="72DC58F8"/>
    <w:rsid w:val="73AF381F"/>
    <w:rsid w:val="740202D4"/>
    <w:rsid w:val="752A2293"/>
    <w:rsid w:val="77277E53"/>
    <w:rsid w:val="775C1F10"/>
    <w:rsid w:val="779A6594"/>
    <w:rsid w:val="77D777E8"/>
    <w:rsid w:val="79224A93"/>
    <w:rsid w:val="79A03FCF"/>
    <w:rsid w:val="7C413482"/>
    <w:rsid w:val="7C5E16DD"/>
    <w:rsid w:val="7C9C6FC2"/>
    <w:rsid w:val="7DC01256"/>
    <w:rsid w:val="7E84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spacing w:before="480" w:line="288" w:lineRule="auto"/>
      <w:ind w:left="1247" w:hanging="1247"/>
      <w:jc w:val="both"/>
      <w:outlineLvl w:val="0"/>
    </w:pPr>
    <w:rPr>
      <w:rFonts w:ascii="Arial" w:hAnsi="Arial" w:eastAsia="宋体" w:cstheme="minorBidi"/>
      <w:b/>
      <w:bCs/>
      <w:kern w:val="44"/>
      <w:sz w:val="36"/>
      <w:szCs w:val="4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4"/>
    <w:next w:val="1"/>
    <w:unhideWhenUsed/>
    <w:qFormat/>
    <w:uiPriority w:val="39"/>
    <w:pPr>
      <w:tabs>
        <w:tab w:val="left" w:pos="420"/>
        <w:tab w:val="left" w:pos="567"/>
        <w:tab w:val="left" w:pos="1134"/>
        <w:tab w:val="left" w:pos="1777"/>
        <w:tab w:val="right" w:leader="dot" w:pos="8789"/>
        <w:tab w:val="right" w:leader="dot" w:pos="9062"/>
      </w:tabs>
      <w:ind w:left="1701" w:right="34" w:hanging="567"/>
    </w:pPr>
  </w:style>
  <w:style w:type="paragraph" w:styleId="4">
    <w:name w:val="toc 2"/>
    <w:basedOn w:val="5"/>
    <w:next w:val="1"/>
    <w:unhideWhenUsed/>
    <w:qFormat/>
    <w:uiPriority w:val="39"/>
    <w:pPr>
      <w:tabs>
        <w:tab w:val="left" w:pos="420"/>
        <w:tab w:val="left" w:pos="567"/>
        <w:tab w:val="left" w:pos="1134"/>
        <w:tab w:val="right" w:leader="dot" w:pos="8789"/>
        <w:tab w:val="right" w:leader="dot" w:pos="9062"/>
      </w:tabs>
      <w:spacing w:before="120"/>
      <w:ind w:left="1276" w:right="907" w:hanging="709"/>
    </w:pPr>
    <w:rPr>
      <w:b w:val="0"/>
    </w:rPr>
  </w:style>
  <w:style w:type="paragraph" w:styleId="5">
    <w:name w:val="toc 1"/>
    <w:basedOn w:val="1"/>
    <w:next w:val="4"/>
    <w:unhideWhenUsed/>
    <w:qFormat/>
    <w:uiPriority w:val="39"/>
    <w:pPr>
      <w:keepNext/>
      <w:widowControl/>
      <w:tabs>
        <w:tab w:val="left" w:pos="420"/>
        <w:tab w:val="left" w:pos="567"/>
        <w:tab w:val="right" w:leader="dot" w:pos="8789"/>
        <w:tab w:val="right" w:leader="dot" w:pos="9062"/>
      </w:tabs>
      <w:spacing w:before="360"/>
      <w:ind w:left="567" w:right="34" w:hanging="425"/>
      <w:jc w:val="left"/>
    </w:pPr>
    <w:rPr>
      <w:b/>
      <w:kern w:val="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TOC Heading"/>
    <w:basedOn w:val="1"/>
    <w:unhideWhenUsed/>
    <w:qFormat/>
    <w:uiPriority w:val="39"/>
    <w:pPr>
      <w:keepNext/>
      <w:widowControl/>
      <w:spacing w:before="840" w:after="240"/>
      <w:jc w:val="left"/>
    </w:pPr>
    <w:rPr>
      <w:rFonts w:cstheme="majorBidi"/>
      <w:b/>
      <w:spacing w:val="10"/>
      <w:kern w:val="20"/>
      <w:sz w:val="40"/>
      <w:szCs w:val="2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1115</Words>
  <Characters>1747</Characters>
  <Lines>0</Lines>
  <Paragraphs>0</Paragraphs>
  <TotalTime>5</TotalTime>
  <ScaleCrop>false</ScaleCrop>
  <LinksUpToDate>false</LinksUpToDate>
  <CharactersWithSpaces>1839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2022-12-09T08:53:00Z</dcterms:created>
  <dc:creator>上海汉界通信工程有限公司</dc:creator>
  <cp:lastModifiedBy>无线对讲系统-徐工13918677771</cp:lastModifiedBy>
  <dcterms:modified xsi:type="dcterms:W3CDTF">2023-05-01T10:56:57Z</dcterms:modified>
  <dc:title>NXR-1800中继台产品规格书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A173627EB58C4F35ABE33FBE9DB0A2D3</vt:lpwstr>
  </property>
</Properties>
</file>