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3162300" cy="717550"/>
            <wp:effectExtent l="0" t="0" r="0" b="635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sdt>
      <w:sdtPr>
        <w:rPr>
          <w:b/>
          <w:sz w:val="64"/>
          <w:szCs w:val="64"/>
          <w:lang w:val="en-US"/>
        </w:rPr>
        <w:alias w:val="Document Title"/>
        <w:tag w:val="Cover_Document_Title"/>
        <w:id w:val="37766366"/>
        <w:lock w:val="sdtLocked"/>
      </w:sdtPr>
      <w:sdtEndPr>
        <w:rPr>
          <w:b/>
          <w:color w:val="0000FF"/>
          <w:sz w:val="56"/>
          <w:szCs w:val="56"/>
          <w:lang w:val="en-US"/>
        </w:rPr>
      </w:sdtEndPr>
      <w:sdtContent>
        <w:sdt>
          <w:sdtPr>
            <w:rPr>
              <w:rFonts w:hint="eastAsia"/>
              <w:b/>
              <w:sz w:val="64"/>
              <w:szCs w:val="64"/>
              <w:lang w:val="en-US"/>
            </w:rPr>
            <w:alias w:val="标题"/>
            <w:tag w:val="标题"/>
            <w:id w:val="3827719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 w:multiLine="1"/>
          </w:sdtPr>
          <w:sdtEndPr>
            <w:rPr>
              <w:rFonts w:hint="eastAsia"/>
              <w:b/>
              <w:color w:val="0000FF"/>
              <w:sz w:val="56"/>
              <w:szCs w:val="56"/>
              <w:lang w:val="en-US"/>
            </w:rPr>
          </w:sdtEndPr>
          <w:sdtContent>
            <w:p>
              <w:pPr>
                <w:rPr>
                  <w:b/>
                  <w:color w:val="0000FF"/>
                  <w:sz w:val="56"/>
                  <w:szCs w:val="56"/>
                  <w:lang w:val="en-US"/>
                </w:rPr>
              </w:pP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NX-1700N-C数字车载台</w:t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br w:type="textWrapping"/>
              </w:r>
              <w:r>
                <w:rPr>
                  <w:rFonts w:hint="eastAsia"/>
                  <w:b/>
                  <w:sz w:val="64"/>
                  <w:szCs w:val="64"/>
                  <w:lang w:val="en-US" w:eastAsia="zh-CN"/>
                </w:rPr>
                <w:t>产品规格书</w:t>
              </w:r>
            </w:p>
          </w:sdtContent>
        </w:sdt>
      </w:sdtContent>
    </w:sdt>
    <w:sdt>
      <w:sdtPr>
        <w:rPr>
          <w:rFonts w:hint="eastAsia"/>
          <w:b/>
          <w:sz w:val="40"/>
          <w:szCs w:val="40"/>
          <w:lang w:eastAsia="zh-CN"/>
        </w:rPr>
        <w:alias w:val="Project Name"/>
        <w:tag w:val="Cover_Project_Name"/>
        <w:id w:val="37766369"/>
        <w:lock w:val="sdtLocked"/>
      </w:sdtPr>
      <w:sdtEndPr>
        <w:rPr>
          <w:rFonts w:hint="eastAsia"/>
          <w:b/>
          <w:sz w:val="64"/>
          <w:szCs w:val="64"/>
          <w:lang w:eastAsia="zh-CN"/>
        </w:rPr>
      </w:sdtEndPr>
      <w:sdtContent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spacing w:beforeLines="100"/>
            <w:outlineLvl w:val="9"/>
            <w:rPr>
              <w:rFonts w:hint="eastAsia"/>
              <w:b/>
              <w:sz w:val="40"/>
              <w:szCs w:val="40"/>
              <w:lang w:eastAsia="zh-CN"/>
            </w:rPr>
          </w:pPr>
        </w:p>
        <w:p>
          <w:pPr>
            <w:rPr>
              <w:rFonts w:hint="eastAsia"/>
              <w:b/>
              <w:sz w:val="64"/>
              <w:szCs w:val="64"/>
              <w:lang w:eastAsia="zh-CN"/>
            </w:rPr>
          </w:pPr>
          <w:r>
            <w:rPr>
              <w:rFonts w:hint="eastAsia"/>
              <w:b/>
              <w:sz w:val="40"/>
              <w:szCs w:val="40"/>
              <w:lang w:val="en-US" w:eastAsia="zh-CN"/>
            </w:rPr>
            <w:t>建伍</w:t>
          </w:r>
          <w:r>
            <w:rPr>
              <w:rFonts w:hint="eastAsia"/>
              <w:b/>
              <w:sz w:val="40"/>
              <w:szCs w:val="40"/>
              <w:lang w:eastAsia="zh-CN"/>
            </w:rPr>
            <w:t>终端产品线</w:t>
          </w:r>
        </w:p>
      </w:sdtContent>
    </w:sdt>
    <w:sdt>
      <w:sdtPr>
        <w:rPr>
          <w:b/>
          <w:sz w:val="40"/>
          <w:szCs w:val="40"/>
        </w:rPr>
        <w:alias w:val="标题"/>
        <w:id w:val="382772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b/>
          <w:sz w:val="40"/>
          <w:szCs w:val="40"/>
        </w:rPr>
      </w:sdtEndPr>
      <w:sdtContent>
        <w:p>
          <w:pPr>
            <w:rPr>
              <w:rFonts w:hint="eastAsia"/>
              <w:b/>
              <w:sz w:val="40"/>
              <w:szCs w:val="40"/>
            </w:rPr>
          </w:pPr>
          <w:r>
            <w:rPr>
              <w:rFonts w:hint="eastAsia"/>
              <w:b/>
              <w:sz w:val="40"/>
              <w:szCs w:val="40"/>
              <w:lang w:eastAsia="zh-CN"/>
            </w:rPr>
            <w:t>NX-1700N-C数字车载台产品规格书</w:t>
          </w:r>
        </w:p>
      </w:sdtContent>
    </w:sdt>
    <w:p>
      <w:pPr>
        <w:rPr>
          <w:rFonts w:hint="eastAsia"/>
          <w:b/>
          <w:sz w:val="40"/>
          <w:szCs w:val="40"/>
          <w:lang w:val="en-US" w:eastAsia="zh-CN"/>
        </w:rPr>
      </w:pPr>
    </w:p>
    <w:tbl>
      <w:tblPr>
        <w:tblStyle w:val="8"/>
        <w:tblW w:w="917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93"/>
        <w:gridCol w:w="1193"/>
        <w:gridCol w:w="1834"/>
        <w:gridCol w:w="3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版本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日期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作者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审核者</w:t>
            </w:r>
          </w:p>
        </w:tc>
        <w:tc>
          <w:tcPr>
            <w:tcW w:w="3865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V1.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.2</w:t>
            </w: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kenwus</w:t>
            </w: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widowControl/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eastAsia="zh-CN"/>
              </w:rPr>
              <w:t>基线文档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right"/>
        </w:trPr>
        <w:tc>
          <w:tcPr>
            <w:tcW w:w="1092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1193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1834" w:type="dxa"/>
            <w:vAlign w:val="center"/>
          </w:tcPr>
          <w:p>
            <w:pPr>
              <w:jc w:val="center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  <w:tc>
          <w:tcPr>
            <w:tcW w:w="3865" w:type="dxa"/>
            <w:vAlign w:val="center"/>
          </w:tcPr>
          <w:p>
            <w:pPr>
              <w:jc w:val="left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p>
      <w:pPr>
        <w:rPr>
          <w:rFonts w:hint="eastAsia" w:ascii="宋体" w:hAnsi="宋体" w:eastAsia="宋体" w:cs="宋体"/>
          <w:sz w:val="18"/>
          <w:szCs w:val="18"/>
        </w:rPr>
      </w:pP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版权所有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日本JVC建伍株式会社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保留所有权利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版权声明：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本文档著作权由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日本JVC建伍株式会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享有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color w:val="FF0000"/>
          <w:sz w:val="18"/>
          <w:szCs w:val="18"/>
        </w:rPr>
        <w:t>本文档中的信息随着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KENWOOD建伍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产品和技术的进步将不断更新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由于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JVC KENWOOD集团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技术的不断发展，以上指标数据若有变更，以</w:t>
      </w:r>
      <w:r>
        <w:rPr>
          <w:rFonts w:hint="eastAsia" w:ascii="宋体" w:hAnsi="宋体" w:eastAsia="宋体" w:cs="宋体"/>
          <w:color w:val="FF0000"/>
          <w:sz w:val="18"/>
          <w:szCs w:val="18"/>
          <w:lang w:val="en-US" w:eastAsia="zh-CN"/>
        </w:rPr>
        <w:t>KENWOOD</w:t>
      </w:r>
      <w:r>
        <w:rPr>
          <w:rFonts w:hint="eastAsia" w:ascii="宋体" w:hAnsi="宋体" w:eastAsia="宋体" w:cs="宋体"/>
          <w:color w:val="FF0000"/>
          <w:sz w:val="18"/>
          <w:szCs w:val="18"/>
        </w:rPr>
        <w:t>的新发布资料为准，恕不另行通知</w:t>
      </w:r>
      <w:r>
        <w:rPr>
          <w:rFonts w:hint="eastAsia" w:ascii="宋体" w:hAnsi="宋体" w:eastAsia="宋体" w:cs="宋体"/>
          <w:color w:val="FF0000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NEXEDGE®是JVC建伍株式会社的注册商标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NXDNTM 是JVCKENWOOD公司和ICOM公司的注册商标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p>
      <w:pPr>
        <w:rPr>
          <w:rFonts w:hint="eastAsia" w:ascii="宋体" w:hAnsi="宋体" w:eastAsia="宋体" w:cs="宋体"/>
          <w:sz w:val="18"/>
          <w:szCs w:val="18"/>
          <w:lang w:eastAsia="zh-CN"/>
        </w:rPr>
      </w:pPr>
      <w:r>
        <w:rPr>
          <w:rFonts w:hint="eastAsia" w:ascii="宋体" w:hAnsi="宋体" w:eastAsia="宋体" w:cs="宋体"/>
          <w:sz w:val="18"/>
          <w:szCs w:val="18"/>
        </w:rPr>
        <w:t>FleetSvnc@ 是JVC建伍株式会社的注册商标</w:t>
      </w:r>
      <w:r>
        <w:rPr>
          <w:rFonts w:hint="eastAsia" w:ascii="宋体" w:hAnsi="宋体" w:eastAsia="宋体" w:cs="宋体"/>
          <w:sz w:val="18"/>
          <w:szCs w:val="18"/>
          <w:lang w:eastAsia="zh-CN"/>
        </w:rPr>
        <w:t>；</w:t>
      </w:r>
    </w:p>
    <w:sdt>
      <w:sdtPr>
        <w:rPr>
          <w:rFonts w:asciiTheme="minorHAnsi" w:hAnsiTheme="minorHAnsi" w:eastAsiaTheme="minorEastAsia" w:cstheme="minorBidi"/>
          <w:b w:val="0"/>
          <w:spacing w:val="0"/>
          <w:kern w:val="2"/>
          <w:sz w:val="21"/>
          <w:szCs w:val="22"/>
        </w:rPr>
        <w:id w:val="877760"/>
      </w:sdtPr>
      <w:sdtEnd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sdtEndPr>
      <w:sdtContent>
        <w:p>
          <w:pPr>
            <w:pStyle w:val="12"/>
            <w:outlineLvl w:val="9"/>
          </w:pPr>
          <w:r>
            <w:t>目录</w:t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rPr>
              <w:b w:val="0"/>
            </w:rPr>
            <w:fldChar w:fldCharType="begin"/>
          </w:r>
          <w:r>
            <w:rPr>
              <w:b w:val="0"/>
            </w:rPr>
            <w:instrText xml:space="preserve"> TOC \o "1-3" \h \z \u </w:instrText>
          </w:r>
          <w:r>
            <w:rPr>
              <w:b w:val="0"/>
            </w:rPr>
            <w:fldChar w:fldCharType="separate"/>
          </w:r>
          <w:r>
            <w:fldChar w:fldCharType="begin"/>
          </w:r>
          <w:r>
            <w:instrText xml:space="preserve"> HYPERLINK \l _Toc26484 </w:instrText>
          </w:r>
          <w:r>
            <w:fldChar w:fldCharType="separate"/>
          </w:r>
          <w:r>
            <w:t xml:space="preserve">1 </w:t>
          </w:r>
          <w:r>
            <w:rPr>
              <w:rFonts w:hint="eastAsia"/>
              <w:lang w:eastAsia="zh-CN"/>
            </w:rPr>
            <w:t>产品外观</w:t>
          </w:r>
          <w:r>
            <w:tab/>
          </w:r>
          <w:r>
            <w:fldChar w:fldCharType="begin"/>
          </w:r>
          <w:r>
            <w:instrText xml:space="preserve"> PAGEREF _Toc26484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</w:pPr>
          <w:r>
            <w:fldChar w:fldCharType="begin"/>
          </w:r>
          <w:r>
            <w:instrText xml:space="preserve"> HYPERLINK \l _Toc14348 </w:instrText>
          </w:r>
          <w:r>
            <w:fldChar w:fldCharType="separate"/>
          </w:r>
          <w:r>
            <w:rPr>
              <w:rFonts w:hint="eastAsia"/>
              <w:lang w:eastAsia="zh-CN"/>
            </w:rPr>
            <w:t>2 产品特点</w:t>
          </w:r>
          <w:r>
            <w:tab/>
          </w:r>
          <w:r>
            <w:fldChar w:fldCharType="begin"/>
          </w:r>
          <w:r>
            <w:instrText xml:space="preserve"> PAGEREF _Toc14348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>
          <w:pPr>
            <w:pStyle w:val="5"/>
            <w:tabs>
              <w:tab w:val="right" w:leader="dot" w:pos="9072"/>
              <w:tab w:val="clear" w:pos="420"/>
              <w:tab w:val="clear" w:pos="567"/>
              <w:tab w:val="clear" w:pos="8789"/>
              <w:tab w:val="clear" w:pos="9062"/>
            </w:tabs>
            <w:rPr>
              <w:rFonts w:hint="eastAsia" w:eastAsiaTheme="minorEastAsia"/>
              <w:lang w:val="en-US" w:eastAsia="zh-CN"/>
            </w:rPr>
          </w:pPr>
          <w:r>
            <w:fldChar w:fldCharType="begin"/>
          </w:r>
          <w:r>
            <w:instrText xml:space="preserve"> HYPERLINK \l _Toc9930 </w:instrText>
          </w:r>
          <w:r>
            <w:fldChar w:fldCharType="separate"/>
          </w:r>
          <w:r>
            <w:rPr>
              <w:rFonts w:hint="eastAsia"/>
              <w:lang w:eastAsia="zh-CN"/>
            </w:rPr>
            <w:t>3 产品</w:t>
          </w:r>
          <w:r>
            <w:rPr>
              <w:rFonts w:hint="eastAsia"/>
              <w:lang w:val="en-US" w:eastAsia="zh-CN"/>
            </w:rPr>
            <w:t>标准技术规格</w:t>
          </w:r>
          <w:r>
            <w:tab/>
          </w:r>
          <w:r>
            <w:fldChar w:fldCharType="end"/>
          </w:r>
          <w:r>
            <w:rPr>
              <w:rFonts w:hint="eastAsia"/>
              <w:lang w:val="en-US" w:eastAsia="zh-CN"/>
            </w:rPr>
            <w:t>6</w:t>
          </w:r>
        </w:p>
        <w:p>
          <w:pPr>
            <w:rPr>
              <w:rFonts w:ascii="Arial" w:hAnsi="Arial" w:eastAsia="宋体" w:cstheme="minorBidi"/>
              <w:b w:val="0"/>
              <w:spacing w:val="0"/>
              <w:kern w:val="0"/>
              <w:sz w:val="21"/>
              <w:szCs w:val="22"/>
            </w:rPr>
          </w:pPr>
          <w:r>
            <w:fldChar w:fldCharType="end"/>
          </w:r>
        </w:p>
      </w:sdtContent>
    </w:sdt>
    <w:p>
      <w:pPr>
        <w:rPr>
          <w:rFonts w:ascii="Arial" w:hAnsi="Arial" w:eastAsia="宋体" w:cstheme="minorBidi"/>
          <w:b w:val="0"/>
          <w:spacing w:val="0"/>
          <w:kern w:val="0"/>
          <w:sz w:val="21"/>
          <w:szCs w:val="22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rPr>
          <w:rFonts w:hint="eastAsia"/>
          <w:b/>
          <w:sz w:val="40"/>
          <w:szCs w:val="40"/>
          <w:lang w:val="en-US" w:eastAsia="zh-CN"/>
        </w:rPr>
      </w:pPr>
    </w:p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0" w:name="_Toc26484"/>
      <w:r>
        <w:rPr>
          <w:rFonts w:hint="eastAsia"/>
          <w:lang w:eastAsia="zh-CN"/>
        </w:rPr>
        <w:t>产品外观</w:t>
      </w:r>
      <w:bookmarkEnd w:id="0"/>
    </w:p>
    <w:p/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724400" cy="4381500"/>
            <wp:effectExtent l="0" t="0" r="0" b="0"/>
            <wp:docPr id="1" name="图片 1" descr="image_product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_product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770" cy="2261235"/>
            <wp:effectExtent l="0" t="0" r="11430" b="12065"/>
            <wp:docPr id="8" name="图片 8" descr="NX1K_MT_SWL_woMIC_LCD-A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NX1K_MT_SWL_woMIC_LCD-A_G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/>
    <w:p>
      <w:pPr>
        <w:pStyle w:val="2"/>
        <w:bidi w:val="0"/>
        <w:ind w:left="0" w:leftChars="0" w:firstLine="0" w:firstLineChars="0"/>
        <w:rPr>
          <w:rFonts w:hint="eastAsia"/>
          <w:lang w:eastAsia="zh-CN"/>
        </w:rPr>
      </w:pPr>
      <w:bookmarkStart w:id="1" w:name="_Toc14348"/>
      <w:r>
        <w:rPr>
          <w:rFonts w:hint="eastAsia"/>
          <w:lang w:eastAsia="zh-CN"/>
        </w:rPr>
        <w:t>产品特点</w:t>
      </w:r>
      <w:bookmarkEnd w:id="1"/>
    </w:p>
    <w:p>
      <w:pPr>
        <w:pStyle w:val="13"/>
        <w:numPr>
          <w:ilvl w:val="0"/>
          <w:numId w:val="2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通用特征：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13字段、10位、带白色背光的LCD显示屏，清晰直观并可自定义显示；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7色LED指示灯提示不同的工作状态；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享有盛誉的KENWOOD音质：最大音频输出功率可高达6W，带可优化数字处理器的发射/接收音频组合处理：音频均衡器(高提升/低提升/平坦)；自动增益控制(发射开/关，接收：高/低/关)；麦克风型式设置；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多种扫描功能：单/双优先扫描、单区/多区扫描等等；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配置橙色紧急按键，并具有可用户化配置的紧急报警功能；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具有单兵作业安全提示功能；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具有操作语音提示功能；并且可编辑语音输入；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最大/最小音量设定；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自台编程功能，无需个人电脑，通过在前面板上的操作可自行编程设置参数；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配置DB15标准插座，易于连接外部设备，扩展应用；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内置GPS接收机控制指令和数据传输，连接GPS接收板后支持位置管理功能；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喇叭报警和扩音设备连接；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点火感测；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坚固耐用，符合美国军用标准MIL-STD810C/D/E/F/G/H 11项环境试验标准；防尘和防水通过国际标准IP54的测试；</w:t>
      </w: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数字-NXDN模式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采用NXDN数字空中接口协议，FDMA方式；能够提供6.25kHz甚窄带物理信道，频率利用率高，适合大范围覆盖；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6.25KHz信道间隔和12.5kHz信道间隔可编程选择设置；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可应用于数字常规直通、常规中转通信系统和Type-D数字集群通信系统(选件)；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语音业务：个别选呼，小组呼叫，全员呼叫；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数据业务：状态信息，短数据传输，传呼；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支持常规多基站IP联网漫游通信，在多中转台IP联网下能够自动判选和切换到相对信号最好的中转台，漫游通信无需手动切换信道；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具有遥毙/复活、远程监听、远程检测功能；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具有延迟加入功能；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具有15bit的语音数字加密功能；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具有空中别名功能，呼叫方能够将自己的别名或ID发送到接收方显示出来；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6.25kHz数字信道和12.5kHz数字信道可混合设置，各个信道根据需要独立选择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具有混合工作模式，NXDN数字信号和FM模拟信号自适应接收，根据接收信号的性质，自动对应发射模式；</w:t>
      </w:r>
    </w:p>
    <w:p>
      <w:pPr>
        <w:pStyle w:val="13"/>
        <w:numPr>
          <w:ilvl w:val="0"/>
          <w:numId w:val="0"/>
        </w:numPr>
        <w:spacing w:line="360" w:lineRule="auto"/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2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b/>
          <w:szCs w:val="22"/>
          <w:lang w:val="en-US" w:eastAsia="zh-CN"/>
        </w:rPr>
      </w:pPr>
      <w:r>
        <w:rPr>
          <w:rFonts w:hint="eastAsia" w:ascii="Arial" w:hAnsi="Arial" w:eastAsia="宋体"/>
          <w:b/>
          <w:szCs w:val="22"/>
          <w:lang w:val="en-US" w:eastAsia="zh-CN"/>
        </w:rPr>
        <w:t>模拟-FM调频模式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可应用于模拟常规直通、常规中转通信系统；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25kHz信道间隔和12.5kHz信道间隔可编程选择设置；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支持FleetSync I/Il信令，可以提供PTT-ID选呼、遥毙/复活、未接回呼、数据传输、尾噪消除等应用功能；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支持MDC-1200信令；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具有QT/DQT编码和解码功能和DTMF编码/解码功能；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具有语音压-扩功能,每个信道独立选择设置；</w:t>
      </w:r>
    </w:p>
    <w:p>
      <w:pPr>
        <w:pStyle w:val="13"/>
        <w:numPr>
          <w:ilvl w:val="2"/>
          <w:numId w:val="3"/>
        </w:numPr>
        <w:spacing w:line="360" w:lineRule="auto"/>
        <w:ind w:left="1260" w:leftChars="0" w:hanging="420" w:firstLineChars="0"/>
        <w:jc w:val="both"/>
        <w:rPr>
          <w:rFonts w:hint="eastAsia" w:ascii="Arial" w:hAnsi="Arial" w:eastAsia="宋体"/>
          <w:szCs w:val="22"/>
          <w:lang w:val="en-US" w:eastAsia="zh-CN"/>
        </w:rPr>
      </w:pPr>
      <w:r>
        <w:rPr>
          <w:rFonts w:hint="eastAsia" w:ascii="Arial" w:hAnsi="Arial" w:eastAsia="宋体"/>
          <w:szCs w:val="22"/>
          <w:lang w:val="en-US" w:eastAsia="zh-CN"/>
        </w:rPr>
        <w:t>支持语音倒频加密功能；</w:t>
      </w: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13"/>
        <w:numPr>
          <w:ilvl w:val="0"/>
          <w:numId w:val="0"/>
        </w:numPr>
        <w:ind w:left="840" w:leftChars="0"/>
        <w:jc w:val="both"/>
        <w:rPr>
          <w:rFonts w:hint="eastAsia" w:ascii="Arial" w:hAnsi="Arial" w:eastAsia="宋体"/>
          <w:szCs w:val="22"/>
          <w:lang w:val="en-US" w:eastAsia="zh-CN"/>
        </w:rPr>
      </w:pPr>
    </w:p>
    <w:p>
      <w:pPr>
        <w:pStyle w:val="2"/>
        <w:rPr>
          <w:rFonts w:hint="eastAsia"/>
          <w:lang w:eastAsia="zh-CN"/>
        </w:rPr>
      </w:pPr>
      <w:bookmarkStart w:id="2" w:name="_Toc9930"/>
      <w:r>
        <w:rPr>
          <w:rFonts w:hint="eastAsia"/>
          <w:lang w:val="en-US" w:eastAsia="zh-CN"/>
        </w:rPr>
        <w:t>产品标准技术</w:t>
      </w:r>
      <w:r>
        <w:rPr>
          <w:rFonts w:hint="eastAsia"/>
          <w:lang w:eastAsia="zh-CN"/>
        </w:rPr>
        <w:t>规格</w:t>
      </w:r>
      <w:bookmarkEnd w:id="2"/>
    </w:p>
    <w:tbl>
      <w:tblPr>
        <w:tblStyle w:val="8"/>
        <w:tblW w:w="86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2425"/>
        <w:gridCol w:w="48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一般规格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174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最大信道数量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最大区域数量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信道间隔 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12.5kHz/25kHz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6.25kHz/12.5kHz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电流消耗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待机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0.45A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工作电源电压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13.2VDC（10.8VDC～15.6VDC)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工作温度范围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- 30～+60℃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频率稳定度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±0.5ppm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天线阻抗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尺寸（宽*高*厚）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161*43*168.2mm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重量（净重）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1.21kg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支持标准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ETSI(EMC)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301 489-1，EN 301 489-5.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ETSI(频谱)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300 086，EN 300 113，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300 219, EN 300 166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ETSI(安全)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 62368-1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灵敏度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3%误码率(6.25kHz/12.5kHz)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0.19μV/0.24μV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1%误码率(6.25kHz/12.5kHz)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0.24μV/0.30μV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12dB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0.22μV/0.26μV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 20dB SINAD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(12.5kHz/25kHz)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0.33μV/0.32μV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选择性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65dB/75dB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互调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杂波辐射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音频输出功率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最大：6W,额度：4W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BACC6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发射功率 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高25W/低5W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剩余调频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模拟12.5kHz/25kHz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40dB/45dB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杂散辐射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-36dBm≤1GHz，- 30dBm&gt;1GHz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调制失真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数字协议</w:t>
            </w:r>
          </w:p>
        </w:tc>
        <w:tc>
          <w:tcPr>
            <w:tcW w:w="24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1-A，NXDN TS 1-B，NXDN TS 1-C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NXDN TS 1-D，NXDN TS 1-E，NXDN TS 1-F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调制类型</w:t>
            </w:r>
          </w:p>
        </w:tc>
        <w:tc>
          <w:tcPr>
            <w:tcW w:w="4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16K0F3E，8K50F3E，8K30F1E,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8K30F1D，8K30F7W，4K00F1E,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4K00F1D，4K00F7W，4K00F2D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</w:rPr>
      </w:pPr>
      <w:r>
        <w:rPr>
          <w:rFonts w:hint="eastAsia"/>
        </w:rPr>
        <w:t>依据EN标准或TIA/EIA-603获得的模拟测量值和所示规格均为典型值。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由于技术不断地发展，以上数据有可能变更，恕不预先通知。</w:t>
      </w:r>
    </w:p>
    <w:p>
      <w:pPr>
        <w:rPr>
          <w:rFonts w:hint="eastAsia"/>
          <w:lang w:val="en-US" w:eastAsia="zh-CN"/>
        </w:rPr>
      </w:pPr>
      <w:bookmarkStart w:id="3" w:name="_GoBack"/>
      <w:bookmarkEnd w:id="3"/>
    </w:p>
    <w:sectPr>
      <w:headerReference r:id="rId3" w:type="default"/>
      <w:footerReference r:id="rId4" w:type="default"/>
      <w:pgSz w:w="11906" w:h="16838"/>
      <w:pgMar w:top="1440" w:right="1803" w:bottom="1440" w:left="1803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right" w:pos="8280"/>
      </w:tabs>
      <w:spacing w:line="180" w:lineRule="exact"/>
      <w:ind w:right="360"/>
      <w:rPr>
        <w:rFonts w:hint="eastAsia" w:ascii="楷体_GB2312" w:eastAsia="楷体_GB2312"/>
      </w:rPr>
    </w:pPr>
    <w:r>
      <w:rPr>
        <w:rStyle w:val="11"/>
        <w:rFonts w:hint="eastAsia" w:ascii="楷体_GB2312" w:eastAsia="楷体_GB2312"/>
      </w:rPr>
      <w:t>版权所有</w:t>
    </w:r>
    <w:r>
      <w:rPr>
        <w:rStyle w:val="11"/>
        <w:rFonts w:hint="eastAsia" w:eastAsia="楷体_GB2312"/>
      </w:rPr>
      <w:t>©</w:t>
    </w:r>
    <w:r>
      <w:rPr>
        <w:rStyle w:val="11"/>
        <w:rFonts w:hint="eastAsia" w:ascii="楷体_GB2312" w:eastAsia="楷体_GB2312"/>
      </w:rPr>
      <w:t xml:space="preserve"> </w:t>
    </w:r>
    <w:r>
      <w:rPr>
        <w:rFonts w:hint="eastAsia" w:ascii="楷体_GB2312" w:eastAsia="楷体_GB2312"/>
      </w:rPr>
      <w:fldChar w:fldCharType="begin"/>
    </w:r>
    <w:r>
      <w:rPr>
        <w:rStyle w:val="11"/>
        <w:rFonts w:hint="eastAsia" w:ascii="楷体_GB2312" w:eastAsia="楷体_GB2312"/>
      </w:rPr>
      <w:instrText xml:space="preserve"> DATE \@ "yyyy" </w:instrText>
    </w:r>
    <w:r>
      <w:rPr>
        <w:rFonts w:hint="eastAsia" w:ascii="楷体_GB2312" w:eastAsia="楷体_GB2312"/>
      </w:rPr>
      <w:fldChar w:fldCharType="separate"/>
    </w:r>
    <w:r>
      <w:rPr>
        <w:rStyle w:val="11"/>
        <w:rFonts w:hint="eastAsia" w:ascii="楷体_GB2312" w:eastAsia="楷体_GB2312"/>
      </w:rPr>
      <w:t>2023</w:t>
    </w:r>
    <w:r>
      <w:rPr>
        <w:rFonts w:hint="eastAsia" w:ascii="楷体_GB2312" w:eastAsia="楷体_GB2312"/>
      </w:rPr>
      <w:fldChar w:fldCharType="end"/>
    </w:r>
    <w:r>
      <w:rPr>
        <w:rStyle w:val="11"/>
        <w:rFonts w:hint="eastAsia" w:ascii="楷体_GB2312" w:eastAsia="楷体_GB2312"/>
      </w:rPr>
      <w:t xml:space="preserve"> www.kenwood.com</w:t>
    </w:r>
    <w:r>
      <w:rPr>
        <w:rFonts w:hint="eastAsia" w:ascii="楷体_GB2312" w:eastAsia="楷体_GB2312"/>
      </w:rPr>
      <w:t xml:space="preserve">                                                                             </w:t>
    </w:r>
  </w:p>
  <w:p>
    <w:pPr>
      <w:pStyle w:val="6"/>
      <w:spacing w:line="180" w:lineRule="exact"/>
    </w:pPr>
    <w:r>
      <w:rPr>
        <w:rStyle w:val="11"/>
        <w:rFonts w:hint="eastAsia" w:ascii="楷体_GB2312" w:eastAsia="楷体_GB2312"/>
      </w:rPr>
      <w:t>内部保密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single" w:color="auto" w:sz="4" w:space="1"/>
      </w:pBdr>
      <w:jc w:val="right"/>
    </w:pPr>
    <w:r>
      <w:rPr>
        <w:u w:val="none"/>
      </w:rPr>
      <w:drawing>
        <wp:inline distT="0" distB="0" distL="114300" distR="114300">
          <wp:extent cx="1390015" cy="315595"/>
          <wp:effectExtent l="0" t="0" r="6985" b="1905"/>
          <wp:docPr id="6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001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37D45"/>
    <w:multiLevelType w:val="multilevel"/>
    <w:tmpl w:val="3CC37D45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64421996"/>
    <w:multiLevelType w:val="multilevel"/>
    <w:tmpl w:val="64421996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lvlText w:val="%1.%2"/>
      <w:lvlJc w:val="left"/>
    </w:lvl>
    <w:lvl w:ilvl="2" w:tentative="0">
      <w:start w:val="1"/>
      <w:numFmt w:val="decimal"/>
      <w:lvlText w:val="%1.%2.%3"/>
      <w:lvlJc w:val="left"/>
      <w:rPr>
        <w:rFonts w:hint="default" w:ascii="Arial" w:hAnsi="Arial" w:cs="Arial"/>
      </w:rPr>
    </w:lvl>
    <w:lvl w:ilvl="3" w:tentative="0">
      <w:start w:val="1"/>
      <w:numFmt w:val="decimal"/>
      <w:lvlText w:val="%1.%2.%3.%4"/>
      <w:lvlJc w:val="left"/>
    </w:lvl>
    <w:lvl w:ilvl="4" w:tentative="0">
      <w:start w:val="1"/>
      <w:numFmt w:val="decimal"/>
      <w:lvlText w:val="%1.%2.%3.%4.%5"/>
      <w:lvlJc w:val="left"/>
    </w:lvl>
    <w:lvl w:ilvl="5" w:tentative="0">
      <w:start w:val="1"/>
      <w:numFmt w:val="decimal"/>
      <w:lvlText w:val="%1.%2.%3.%4.%5.%6"/>
      <w:lvlJc w:val="left"/>
    </w:lvl>
    <w:lvl w:ilvl="6" w:tentative="0">
      <w:start w:val="1"/>
      <w:numFmt w:val="decimal"/>
      <w:lvlText w:val="%1.%2.%3.%4.%5.%6.%7"/>
      <w:lvlJc w:val="left"/>
    </w:lvl>
    <w:lvl w:ilvl="7" w:tentative="0">
      <w:start w:val="1"/>
      <w:numFmt w:val="decimal"/>
      <w:lvlText w:val="%1.%2.%3.%4.%5.%6.%7.%8"/>
      <w:lvlJc w:val="left"/>
    </w:lvl>
    <w:lvl w:ilvl="8" w:tentative="0">
      <w:start w:val="1"/>
      <w:numFmt w:val="decimal"/>
      <w:lvlText w:val="%1.%2.%3.%4.%5.%6.%7.%8.%9"/>
      <w:lvlJc w:val="left"/>
    </w:lvl>
  </w:abstractNum>
  <w:abstractNum w:abstractNumId="2">
    <w:nsid w:val="7580A2F1"/>
    <w:multiLevelType w:val="multilevel"/>
    <w:tmpl w:val="7580A2F1"/>
    <w:lvl w:ilvl="0" w:tentative="0">
      <w:start w:val="1"/>
      <w:numFmt w:val="bullet"/>
      <w:lvlText w:val=""/>
      <w:lvlJc w:val="left"/>
      <w:pPr>
        <w:tabs>
          <w:tab w:val="left" w:pos="840"/>
        </w:tabs>
        <w:ind w:left="126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168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210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252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94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336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378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420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46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FjNTJiZmZlN2QxMTJmYTM2ZTkwMWU2NTFiOTUzY2YifQ=="/>
  </w:docVars>
  <w:rsids>
    <w:rsidRoot w:val="00000000"/>
    <w:rsid w:val="000227DE"/>
    <w:rsid w:val="00DE2DDD"/>
    <w:rsid w:val="017512B4"/>
    <w:rsid w:val="01C901A1"/>
    <w:rsid w:val="043833BC"/>
    <w:rsid w:val="05243941"/>
    <w:rsid w:val="05FE23E4"/>
    <w:rsid w:val="066E1317"/>
    <w:rsid w:val="07C75183"/>
    <w:rsid w:val="08F71A98"/>
    <w:rsid w:val="09B9224A"/>
    <w:rsid w:val="0A6F4382"/>
    <w:rsid w:val="0B1B7594"/>
    <w:rsid w:val="0B352404"/>
    <w:rsid w:val="0C1069CD"/>
    <w:rsid w:val="0F8910A9"/>
    <w:rsid w:val="111425F0"/>
    <w:rsid w:val="12A3059B"/>
    <w:rsid w:val="145D3689"/>
    <w:rsid w:val="155C2C83"/>
    <w:rsid w:val="163C6D3C"/>
    <w:rsid w:val="16B32D77"/>
    <w:rsid w:val="16E11692"/>
    <w:rsid w:val="16E66D61"/>
    <w:rsid w:val="1A4268EB"/>
    <w:rsid w:val="1A7B3BAB"/>
    <w:rsid w:val="1AB570BD"/>
    <w:rsid w:val="1C36219D"/>
    <w:rsid w:val="1DD2442A"/>
    <w:rsid w:val="1E94348E"/>
    <w:rsid w:val="1FA932E3"/>
    <w:rsid w:val="1FB92A8D"/>
    <w:rsid w:val="202F16C0"/>
    <w:rsid w:val="209459C7"/>
    <w:rsid w:val="21294361"/>
    <w:rsid w:val="21AD6D40"/>
    <w:rsid w:val="21CE6CB6"/>
    <w:rsid w:val="22BD7457"/>
    <w:rsid w:val="23AC53CD"/>
    <w:rsid w:val="243E6375"/>
    <w:rsid w:val="25900E53"/>
    <w:rsid w:val="272555CB"/>
    <w:rsid w:val="275B0FEC"/>
    <w:rsid w:val="27CC3C98"/>
    <w:rsid w:val="29C10D80"/>
    <w:rsid w:val="2AF73935"/>
    <w:rsid w:val="2B9E594C"/>
    <w:rsid w:val="2C574478"/>
    <w:rsid w:val="2D1233DA"/>
    <w:rsid w:val="2E0A551A"/>
    <w:rsid w:val="2F063CF2"/>
    <w:rsid w:val="311A5FF2"/>
    <w:rsid w:val="31777D04"/>
    <w:rsid w:val="31C75BFC"/>
    <w:rsid w:val="320F6A40"/>
    <w:rsid w:val="32607E4C"/>
    <w:rsid w:val="33313908"/>
    <w:rsid w:val="336D632F"/>
    <w:rsid w:val="33AF7A6D"/>
    <w:rsid w:val="33B514D5"/>
    <w:rsid w:val="34080E52"/>
    <w:rsid w:val="366E3E92"/>
    <w:rsid w:val="36743E79"/>
    <w:rsid w:val="36B1347B"/>
    <w:rsid w:val="37385DE2"/>
    <w:rsid w:val="377F2724"/>
    <w:rsid w:val="37F0752F"/>
    <w:rsid w:val="3831701C"/>
    <w:rsid w:val="383C7CBE"/>
    <w:rsid w:val="39052BA3"/>
    <w:rsid w:val="3AA953A4"/>
    <w:rsid w:val="3C522566"/>
    <w:rsid w:val="3D601A89"/>
    <w:rsid w:val="3DF37D79"/>
    <w:rsid w:val="3EB412B6"/>
    <w:rsid w:val="3F514D57"/>
    <w:rsid w:val="3FB6105E"/>
    <w:rsid w:val="42115651"/>
    <w:rsid w:val="448422C5"/>
    <w:rsid w:val="44E977E0"/>
    <w:rsid w:val="48022966"/>
    <w:rsid w:val="488717E9"/>
    <w:rsid w:val="48C52312"/>
    <w:rsid w:val="4A4756D4"/>
    <w:rsid w:val="4A53205B"/>
    <w:rsid w:val="4B180E1F"/>
    <w:rsid w:val="4C082C41"/>
    <w:rsid w:val="4C1C493F"/>
    <w:rsid w:val="4D302F88"/>
    <w:rsid w:val="4E8D61CF"/>
    <w:rsid w:val="4EAF439C"/>
    <w:rsid w:val="4F075432"/>
    <w:rsid w:val="4F253B0A"/>
    <w:rsid w:val="4FED4628"/>
    <w:rsid w:val="50267B3A"/>
    <w:rsid w:val="506A1680"/>
    <w:rsid w:val="50AD6BE4"/>
    <w:rsid w:val="516A22CE"/>
    <w:rsid w:val="53051C89"/>
    <w:rsid w:val="531445C2"/>
    <w:rsid w:val="53397B84"/>
    <w:rsid w:val="55007ECC"/>
    <w:rsid w:val="55D01046"/>
    <w:rsid w:val="56876E58"/>
    <w:rsid w:val="56D66003"/>
    <w:rsid w:val="587632DC"/>
    <w:rsid w:val="58885441"/>
    <w:rsid w:val="589A10C5"/>
    <w:rsid w:val="58E40592"/>
    <w:rsid w:val="596A4F3B"/>
    <w:rsid w:val="5B0A49B8"/>
    <w:rsid w:val="5B0D4D70"/>
    <w:rsid w:val="5B7756EE"/>
    <w:rsid w:val="5BB44D5A"/>
    <w:rsid w:val="5D7A7717"/>
    <w:rsid w:val="5D9933F8"/>
    <w:rsid w:val="5E624433"/>
    <w:rsid w:val="5F3D09FC"/>
    <w:rsid w:val="603F4D07"/>
    <w:rsid w:val="613025C6"/>
    <w:rsid w:val="61AD3208"/>
    <w:rsid w:val="621C0D9D"/>
    <w:rsid w:val="623B28A8"/>
    <w:rsid w:val="627B5AC3"/>
    <w:rsid w:val="62BB2364"/>
    <w:rsid w:val="63612F0B"/>
    <w:rsid w:val="63AB4186"/>
    <w:rsid w:val="65226971"/>
    <w:rsid w:val="65B5753E"/>
    <w:rsid w:val="65E322FD"/>
    <w:rsid w:val="671C5AEB"/>
    <w:rsid w:val="675608AD"/>
    <w:rsid w:val="6803642F"/>
    <w:rsid w:val="69DA174D"/>
    <w:rsid w:val="69E71C90"/>
    <w:rsid w:val="69E91EAC"/>
    <w:rsid w:val="6ADD44FB"/>
    <w:rsid w:val="6B3D1C4C"/>
    <w:rsid w:val="6B480E55"/>
    <w:rsid w:val="6CE10C19"/>
    <w:rsid w:val="6D102A05"/>
    <w:rsid w:val="6D260D22"/>
    <w:rsid w:val="6D8A12B0"/>
    <w:rsid w:val="6DFE57FA"/>
    <w:rsid w:val="6EC72405"/>
    <w:rsid w:val="6F9208F0"/>
    <w:rsid w:val="70217FA0"/>
    <w:rsid w:val="70AB6A17"/>
    <w:rsid w:val="712D50B1"/>
    <w:rsid w:val="71597917"/>
    <w:rsid w:val="72593C6B"/>
    <w:rsid w:val="726B39D4"/>
    <w:rsid w:val="72A526E9"/>
    <w:rsid w:val="72DA0AC8"/>
    <w:rsid w:val="72DC58F8"/>
    <w:rsid w:val="73AF381F"/>
    <w:rsid w:val="752A2293"/>
    <w:rsid w:val="77277E53"/>
    <w:rsid w:val="779A6594"/>
    <w:rsid w:val="77D777E8"/>
    <w:rsid w:val="79224A93"/>
    <w:rsid w:val="79A03FCF"/>
    <w:rsid w:val="7AAC0AB8"/>
    <w:rsid w:val="7C413482"/>
    <w:rsid w:val="7C5E16DD"/>
    <w:rsid w:val="7C9C6FC2"/>
    <w:rsid w:val="7DC01256"/>
    <w:rsid w:val="7E8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numPr>
        <w:ilvl w:val="0"/>
        <w:numId w:val="1"/>
      </w:numPr>
      <w:spacing w:before="480" w:line="288" w:lineRule="auto"/>
      <w:ind w:left="1247" w:hanging="1247"/>
      <w:jc w:val="both"/>
      <w:outlineLvl w:val="0"/>
    </w:pPr>
    <w:rPr>
      <w:rFonts w:ascii="Arial" w:hAnsi="Arial" w:eastAsia="宋体" w:cstheme="minorBidi"/>
      <w:b/>
      <w:bCs/>
      <w:kern w:val="44"/>
      <w:sz w:val="36"/>
      <w:szCs w:val="4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4"/>
    <w:next w:val="1"/>
    <w:unhideWhenUsed/>
    <w:qFormat/>
    <w:uiPriority w:val="39"/>
    <w:pPr>
      <w:tabs>
        <w:tab w:val="left" w:pos="420"/>
        <w:tab w:val="left" w:pos="567"/>
        <w:tab w:val="left" w:pos="1134"/>
        <w:tab w:val="left" w:pos="1777"/>
        <w:tab w:val="right" w:leader="dot" w:pos="8789"/>
        <w:tab w:val="right" w:leader="dot" w:pos="9062"/>
      </w:tabs>
      <w:ind w:left="1701" w:right="34" w:hanging="567"/>
    </w:pPr>
  </w:style>
  <w:style w:type="paragraph" w:styleId="4">
    <w:name w:val="toc 2"/>
    <w:basedOn w:val="5"/>
    <w:next w:val="1"/>
    <w:unhideWhenUsed/>
    <w:qFormat/>
    <w:uiPriority w:val="39"/>
    <w:pPr>
      <w:tabs>
        <w:tab w:val="left" w:pos="420"/>
        <w:tab w:val="left" w:pos="567"/>
        <w:tab w:val="left" w:pos="1134"/>
        <w:tab w:val="right" w:leader="dot" w:pos="8789"/>
        <w:tab w:val="right" w:leader="dot" w:pos="9062"/>
      </w:tabs>
      <w:spacing w:before="120"/>
      <w:ind w:left="1276" w:right="907" w:hanging="709"/>
    </w:pPr>
    <w:rPr>
      <w:b w:val="0"/>
    </w:rPr>
  </w:style>
  <w:style w:type="paragraph" w:styleId="5">
    <w:name w:val="toc 1"/>
    <w:basedOn w:val="1"/>
    <w:next w:val="4"/>
    <w:unhideWhenUsed/>
    <w:qFormat/>
    <w:uiPriority w:val="39"/>
    <w:pPr>
      <w:keepNext/>
      <w:widowControl/>
      <w:tabs>
        <w:tab w:val="left" w:pos="420"/>
        <w:tab w:val="left" w:pos="567"/>
        <w:tab w:val="right" w:leader="dot" w:pos="8789"/>
        <w:tab w:val="right" w:leader="dot" w:pos="9062"/>
      </w:tabs>
      <w:spacing w:before="360"/>
      <w:ind w:left="567" w:right="34" w:hanging="425"/>
      <w:jc w:val="left"/>
    </w:pPr>
    <w:rPr>
      <w:b/>
      <w:kern w:val="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basedOn w:val="10"/>
    <w:qFormat/>
    <w:uiPriority w:val="0"/>
  </w:style>
  <w:style w:type="paragraph" w:customStyle="1" w:styleId="12">
    <w:name w:val="TOC Heading"/>
    <w:basedOn w:val="1"/>
    <w:unhideWhenUsed/>
    <w:qFormat/>
    <w:uiPriority w:val="39"/>
    <w:pPr>
      <w:keepNext/>
      <w:widowControl/>
      <w:spacing w:before="840" w:after="240"/>
      <w:jc w:val="left"/>
    </w:pPr>
    <w:rPr>
      <w:rFonts w:cstheme="majorBidi"/>
      <w:b/>
      <w:spacing w:val="10"/>
      <w:kern w:val="20"/>
      <w:sz w:val="40"/>
      <w:szCs w:val="28"/>
    </w:rPr>
  </w:style>
  <w:style w:type="paragraph" w:customStyle="1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1402</Words>
  <Characters>2086</Characters>
  <Lines>0</Lines>
  <Paragraphs>0</Paragraphs>
  <TotalTime>0</TotalTime>
  <ScaleCrop>false</ScaleCrop>
  <LinksUpToDate>false</LinksUpToDate>
  <CharactersWithSpaces>2156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2022-12-09T08:53:00Z</dcterms:created>
  <dc:creator>上海汉界通信工程有限公司</dc:creator>
  <cp:lastModifiedBy>无线对讲系统-徐工13918677771</cp:lastModifiedBy>
  <dcterms:modified xsi:type="dcterms:W3CDTF">2023-04-29T04:54:26Z</dcterms:modified>
  <dc:title>NX-1700N-C数字车载台
产品规格书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C851010BB33D4DBE81F880CAB341ECEB</vt:lpwstr>
  </property>
</Properties>
</file>